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5336A" w14:textId="6DA5FCA7" w:rsidR="00C52D6D" w:rsidRPr="006664D1" w:rsidRDefault="00F77E7A" w:rsidP="00AF0142">
      <w:pPr>
        <w:pStyle w:val="Title"/>
        <w:jc w:val="both"/>
        <w:rPr>
          <w:rFonts w:asciiTheme="minorHAnsi" w:hAnsiTheme="minorHAnsi"/>
          <w:color w:val="4472C4" w:themeColor="accent1"/>
        </w:rPr>
      </w:pPr>
      <w:bookmarkStart w:id="0" w:name="_GoBack"/>
      <w:r>
        <w:rPr>
          <w:rFonts w:asciiTheme="minorHAnsi" w:hAnsiTheme="minorHAnsi"/>
          <w:color w:val="4472C4" w:themeColor="accent1"/>
        </w:rPr>
        <w:t>Integrated Population and Characteristics Survey</w:t>
      </w:r>
      <w:r w:rsidR="00673A62">
        <w:rPr>
          <w:rFonts w:asciiTheme="minorHAnsi" w:hAnsiTheme="minorHAnsi"/>
          <w:color w:val="4472C4" w:themeColor="accent1"/>
        </w:rPr>
        <w:t xml:space="preserve"> (</w:t>
      </w:r>
      <w:r>
        <w:rPr>
          <w:rFonts w:asciiTheme="minorHAnsi" w:hAnsiTheme="minorHAnsi"/>
          <w:color w:val="4472C4" w:themeColor="accent1"/>
        </w:rPr>
        <w:t>IPACS</w:t>
      </w:r>
      <w:r w:rsidR="00673A62">
        <w:rPr>
          <w:rFonts w:asciiTheme="minorHAnsi" w:hAnsiTheme="minorHAnsi"/>
          <w:color w:val="4472C4" w:themeColor="accent1"/>
        </w:rPr>
        <w:t>)</w:t>
      </w:r>
    </w:p>
    <w:bookmarkEnd w:id="0"/>
    <w:p w14:paraId="7CF239E7" w14:textId="539AA831" w:rsidR="00DB5A33" w:rsidRPr="006664D1" w:rsidRDefault="00961AD5" w:rsidP="00AF0142">
      <w:pPr>
        <w:pStyle w:val="Heading1"/>
        <w:jc w:val="both"/>
        <w:rPr>
          <w:rFonts w:asciiTheme="minorHAnsi" w:hAnsiTheme="minorHAnsi"/>
        </w:rPr>
      </w:pPr>
      <w:r>
        <w:rPr>
          <w:rFonts w:asciiTheme="minorHAnsi" w:hAnsiTheme="minorHAnsi"/>
        </w:rPr>
        <w:t>1.0</w:t>
      </w:r>
      <w:r>
        <w:rPr>
          <w:rFonts w:asciiTheme="minorHAnsi" w:hAnsiTheme="minorHAnsi"/>
        </w:rPr>
        <w:tab/>
      </w:r>
      <w:r w:rsidR="00DB5A33" w:rsidRPr="006664D1">
        <w:rPr>
          <w:rFonts w:asciiTheme="minorHAnsi" w:hAnsiTheme="minorHAnsi"/>
        </w:rPr>
        <w:t>Intro</w:t>
      </w:r>
      <w:r w:rsidR="00E86E9A" w:rsidRPr="006664D1">
        <w:rPr>
          <w:rFonts w:asciiTheme="minorHAnsi" w:hAnsiTheme="minorHAnsi"/>
        </w:rPr>
        <w:t>duction</w:t>
      </w:r>
    </w:p>
    <w:p w14:paraId="48191980" w14:textId="0C4BAFF9" w:rsidR="001A6389" w:rsidRPr="006664D1" w:rsidRDefault="004923AE" w:rsidP="008B54F2">
      <w:pPr>
        <w:jc w:val="both"/>
      </w:pPr>
      <w:r w:rsidRPr="006664D1">
        <w:t xml:space="preserve">The </w:t>
      </w:r>
      <w:r w:rsidR="004259D1" w:rsidRPr="006664D1">
        <w:t>O</w:t>
      </w:r>
      <w:r w:rsidRPr="006664D1">
        <w:t xml:space="preserve">ffice for National Statistics (ONS) is working towards the transformation of Population, Migration and Social </w:t>
      </w:r>
      <w:r w:rsidR="004259D1" w:rsidRPr="006664D1">
        <w:t>S</w:t>
      </w:r>
      <w:r w:rsidRPr="006664D1">
        <w:t xml:space="preserve">tatistics. </w:t>
      </w:r>
      <w:r w:rsidRPr="006664D1">
        <w:rPr>
          <w:rFonts w:cstheme="minorHAnsi"/>
          <w:shd w:val="clear" w:color="auto" w:fill="FFFFFF"/>
        </w:rPr>
        <w:t xml:space="preserve">The </w:t>
      </w:r>
      <w:r w:rsidR="0099236C">
        <w:rPr>
          <w:rFonts w:cstheme="minorHAnsi"/>
          <w:shd w:val="clear" w:color="auto" w:fill="FFFFFF"/>
        </w:rPr>
        <w:t xml:space="preserve">Census &amp; </w:t>
      </w:r>
      <w:r w:rsidRPr="006664D1">
        <w:rPr>
          <w:rFonts w:cstheme="minorHAnsi"/>
          <w:shd w:val="clear" w:color="auto" w:fill="FFFFFF"/>
        </w:rPr>
        <w:t>Data Collection Transformation Programme (</w:t>
      </w:r>
      <w:r w:rsidR="0099236C">
        <w:rPr>
          <w:rFonts w:cstheme="minorHAnsi"/>
          <w:shd w:val="clear" w:color="auto" w:fill="FFFFFF"/>
        </w:rPr>
        <w:t>C</w:t>
      </w:r>
      <w:r w:rsidRPr="006664D1">
        <w:rPr>
          <w:rFonts w:cstheme="minorHAnsi"/>
          <w:shd w:val="clear" w:color="auto" w:fill="FFFFFF"/>
        </w:rPr>
        <w:t>DCTP) seeks to rebalance ONS’s data collection activity significantly toward wider, more integrated use of administrative and other non-survey data sources, thereby reducing our reliance on large population and b</w:t>
      </w:r>
      <w:r w:rsidR="001C27D4">
        <w:rPr>
          <w:rFonts w:cstheme="minorHAnsi"/>
          <w:shd w:val="clear" w:color="auto" w:fill="FFFFFF"/>
        </w:rPr>
        <w:t>usiness surveys. While this will</w:t>
      </w:r>
      <w:r w:rsidRPr="006664D1">
        <w:rPr>
          <w:rFonts w:cstheme="minorHAnsi"/>
          <w:shd w:val="clear" w:color="auto" w:fill="FFFFFF"/>
        </w:rPr>
        <w:t xml:space="preserve"> not eliminate a need for surveys, it does mean ONS’s traditional approach to surveys </w:t>
      </w:r>
      <w:r w:rsidR="001C27D4">
        <w:rPr>
          <w:rFonts w:cstheme="minorHAnsi"/>
          <w:shd w:val="clear" w:color="auto" w:fill="FFFFFF"/>
        </w:rPr>
        <w:t>is likely to change</w:t>
      </w:r>
      <w:r w:rsidRPr="006664D1">
        <w:rPr>
          <w:rFonts w:cstheme="minorHAnsi"/>
          <w:shd w:val="clear" w:color="auto" w:fill="FFFFFF"/>
        </w:rPr>
        <w:t>.</w:t>
      </w:r>
      <w:r w:rsidR="00884FF6" w:rsidRPr="006664D1">
        <w:rPr>
          <w:rFonts w:cstheme="minorHAnsi"/>
          <w:shd w:val="clear" w:color="auto" w:fill="FFFFFF"/>
        </w:rPr>
        <w:t xml:space="preserve"> </w:t>
      </w:r>
      <w:r w:rsidR="0008655E" w:rsidRPr="006664D1">
        <w:rPr>
          <w:rFonts w:cstheme="minorHAnsi"/>
          <w:shd w:val="clear" w:color="auto" w:fill="FFFFFF"/>
        </w:rPr>
        <w:t>To</w:t>
      </w:r>
      <w:r w:rsidR="000A0FC1" w:rsidRPr="006664D1">
        <w:rPr>
          <w:rFonts w:cstheme="minorHAnsi"/>
          <w:shd w:val="clear" w:color="auto" w:fill="FFFFFF"/>
        </w:rPr>
        <w:t xml:space="preserve"> support </w:t>
      </w:r>
      <w:r w:rsidR="001C27D4">
        <w:rPr>
          <w:rFonts w:cstheme="minorHAnsi"/>
          <w:shd w:val="clear" w:color="auto" w:fill="FFFFFF"/>
        </w:rPr>
        <w:t>this agenda</w:t>
      </w:r>
      <w:r w:rsidR="000A0FC1" w:rsidRPr="006664D1">
        <w:rPr>
          <w:rFonts w:cstheme="minorHAnsi"/>
          <w:shd w:val="clear" w:color="auto" w:fill="FFFFFF"/>
        </w:rPr>
        <w:t xml:space="preserve">, </w:t>
      </w:r>
      <w:r w:rsidR="001C27D4">
        <w:t xml:space="preserve">ONS is also </w:t>
      </w:r>
      <w:r w:rsidR="001A6389" w:rsidRPr="006664D1">
        <w:t xml:space="preserve">working towards the development of an </w:t>
      </w:r>
      <w:r w:rsidR="00F77E7A">
        <w:t>Integrated Population and Characteristics Survey</w:t>
      </w:r>
      <w:r w:rsidR="001C27D4">
        <w:t xml:space="preserve"> (</w:t>
      </w:r>
      <w:r w:rsidR="00F77E7A">
        <w:t>IPACS</w:t>
      </w:r>
      <w:r w:rsidR="001C27D4">
        <w:t>) which</w:t>
      </w:r>
      <w:r w:rsidR="001A6389" w:rsidRPr="006664D1">
        <w:t>;</w:t>
      </w:r>
    </w:p>
    <w:p w14:paraId="05F40BE2" w14:textId="18D56D86" w:rsidR="001A6389" w:rsidRPr="006664D1" w:rsidRDefault="001C27D4" w:rsidP="008B54F2">
      <w:pPr>
        <w:pStyle w:val="ListParagraph"/>
        <w:numPr>
          <w:ilvl w:val="0"/>
          <w:numId w:val="2"/>
        </w:numPr>
        <w:jc w:val="both"/>
      </w:pPr>
      <w:r>
        <w:t xml:space="preserve">will </w:t>
      </w:r>
      <w:r w:rsidR="001A6389" w:rsidRPr="006664D1">
        <w:t>support the production of Population, Migration and Social Data from administrative data and other non-survey data sources and;</w:t>
      </w:r>
    </w:p>
    <w:p w14:paraId="7E78A268" w14:textId="22E08FA5" w:rsidR="001A6389" w:rsidRPr="006664D1" w:rsidRDefault="001C27D4" w:rsidP="008B54F2">
      <w:pPr>
        <w:pStyle w:val="ListParagraph"/>
        <w:numPr>
          <w:ilvl w:val="0"/>
          <w:numId w:val="2"/>
        </w:numPr>
        <w:jc w:val="both"/>
      </w:pPr>
      <w:r>
        <w:t xml:space="preserve">serve </w:t>
      </w:r>
      <w:r w:rsidR="001A6389" w:rsidRPr="006664D1">
        <w:t xml:space="preserve">as the future sourcing model for any residual population, migration and social data.  </w:t>
      </w:r>
    </w:p>
    <w:p w14:paraId="73A44F4C" w14:textId="04031980" w:rsidR="004923AE" w:rsidRPr="006664D1" w:rsidRDefault="001A6389" w:rsidP="008B54F2">
      <w:pPr>
        <w:spacing w:after="0" w:line="240" w:lineRule="auto"/>
        <w:jc w:val="both"/>
        <w:rPr>
          <w:rFonts w:cs="Times New Roman"/>
        </w:rPr>
      </w:pPr>
      <w:r w:rsidRPr="006664D1">
        <w:rPr>
          <w:rFonts w:cstheme="minorHAnsi"/>
          <w:shd w:val="clear" w:color="auto" w:fill="FFFFFF"/>
        </w:rPr>
        <w:t>T</w:t>
      </w:r>
      <w:r w:rsidR="00884FF6" w:rsidRPr="006664D1">
        <w:rPr>
          <w:rFonts w:cstheme="minorHAnsi"/>
          <w:shd w:val="clear" w:color="auto" w:fill="FFFFFF"/>
        </w:rPr>
        <w:t>hree underlying princip</w:t>
      </w:r>
      <w:r w:rsidRPr="006664D1">
        <w:rPr>
          <w:rFonts w:cstheme="minorHAnsi"/>
          <w:shd w:val="clear" w:color="auto" w:fill="FFFFFF"/>
        </w:rPr>
        <w:t xml:space="preserve">les support the development of the </w:t>
      </w:r>
      <w:r w:rsidR="00F77E7A">
        <w:rPr>
          <w:rFonts w:cstheme="minorHAnsi"/>
          <w:shd w:val="clear" w:color="auto" w:fill="FFFFFF"/>
        </w:rPr>
        <w:t>IPACS</w:t>
      </w:r>
      <w:r w:rsidR="00884FF6" w:rsidRPr="006664D1">
        <w:rPr>
          <w:rFonts w:cstheme="minorHAnsi"/>
          <w:shd w:val="clear" w:color="auto" w:fill="FFFFFF"/>
        </w:rPr>
        <w:t>;</w:t>
      </w:r>
    </w:p>
    <w:p w14:paraId="45477C07" w14:textId="77777777" w:rsidR="001A6389" w:rsidRPr="006664D1" w:rsidRDefault="001A6389" w:rsidP="008B54F2">
      <w:pPr>
        <w:spacing w:after="0" w:line="240" w:lineRule="auto"/>
        <w:jc w:val="both"/>
        <w:rPr>
          <w:rFonts w:cs="Times New Roman"/>
        </w:rPr>
      </w:pPr>
    </w:p>
    <w:p w14:paraId="01830489" w14:textId="2A933AA4" w:rsidR="004923AE" w:rsidRPr="006664D1" w:rsidRDefault="004923AE" w:rsidP="008B54F2">
      <w:pPr>
        <w:pStyle w:val="ListParagraph"/>
        <w:numPr>
          <w:ilvl w:val="0"/>
          <w:numId w:val="4"/>
        </w:numPr>
        <w:jc w:val="both"/>
        <w:rPr>
          <w:rFonts w:cstheme="minorHAnsi"/>
        </w:rPr>
      </w:pPr>
      <w:r w:rsidRPr="006664D1">
        <w:rPr>
          <w:rFonts w:cstheme="minorHAnsi"/>
          <w:b/>
          <w:color w:val="323132"/>
          <w:shd w:val="clear" w:color="auto" w:fill="FFFFFF"/>
        </w:rPr>
        <w:t>Administrative data first</w:t>
      </w:r>
      <w:r w:rsidRPr="006664D1">
        <w:rPr>
          <w:rFonts w:cstheme="minorHAnsi"/>
          <w:color w:val="323132"/>
          <w:shd w:val="clear" w:color="auto" w:fill="FFFFFF"/>
        </w:rPr>
        <w:t xml:space="preserve">: </w:t>
      </w:r>
      <w:r w:rsidR="00503313">
        <w:rPr>
          <w:rFonts w:cstheme="minorHAnsi"/>
          <w:color w:val="323132"/>
          <w:shd w:val="clear" w:color="auto" w:fill="FFFFFF"/>
        </w:rPr>
        <w:t>an admin data first approach</w:t>
      </w:r>
      <w:r w:rsidRPr="006664D1">
        <w:rPr>
          <w:rFonts w:cstheme="minorHAnsi"/>
          <w:color w:val="323132"/>
        </w:rPr>
        <w:t xml:space="preserve"> will allow us to make greater use of existing non-survey sources </w:t>
      </w:r>
      <w:r w:rsidR="00916B08">
        <w:rPr>
          <w:rFonts w:cstheme="minorHAnsi"/>
          <w:color w:val="323132"/>
        </w:rPr>
        <w:t xml:space="preserve">for statistical outputs, to increase the efficiency of sampling and data collection processes, and to </w:t>
      </w:r>
      <w:r w:rsidR="00EB7DB7">
        <w:rPr>
          <w:rFonts w:cstheme="minorHAnsi"/>
          <w:color w:val="323132"/>
        </w:rPr>
        <w:t>replace and/or enhance survey variables</w:t>
      </w:r>
    </w:p>
    <w:p w14:paraId="1A519ADE" w14:textId="162783E5" w:rsidR="004923AE" w:rsidRPr="006664D1" w:rsidRDefault="004923AE" w:rsidP="008B54F2">
      <w:pPr>
        <w:pStyle w:val="ListParagraph"/>
        <w:numPr>
          <w:ilvl w:val="0"/>
          <w:numId w:val="4"/>
        </w:numPr>
        <w:jc w:val="both"/>
        <w:rPr>
          <w:rFonts w:cstheme="minorHAnsi"/>
        </w:rPr>
      </w:pPr>
      <w:r w:rsidRPr="006664D1">
        <w:rPr>
          <w:rFonts w:cstheme="minorHAnsi"/>
          <w:b/>
          <w:color w:val="323132"/>
          <w:shd w:val="clear" w:color="auto" w:fill="FFFFFF"/>
        </w:rPr>
        <w:t>Digital by default</w:t>
      </w:r>
      <w:r w:rsidRPr="006664D1">
        <w:rPr>
          <w:rFonts w:cstheme="minorHAnsi"/>
          <w:color w:val="323132"/>
          <w:shd w:val="clear" w:color="auto" w:fill="FFFFFF"/>
        </w:rPr>
        <w:t xml:space="preserve">: </w:t>
      </w:r>
      <w:r w:rsidR="00503313">
        <w:rPr>
          <w:rFonts w:cstheme="minorHAnsi"/>
          <w:color w:val="323132"/>
          <w:shd w:val="clear" w:color="auto" w:fill="FFFFFF"/>
        </w:rPr>
        <w:t xml:space="preserve">residual </w:t>
      </w:r>
      <w:r w:rsidRPr="006664D1">
        <w:rPr>
          <w:rFonts w:cstheme="minorHAnsi"/>
          <w:color w:val="323132"/>
          <w:shd w:val="clear" w:color="auto" w:fill="FFFFFF"/>
        </w:rPr>
        <w:t xml:space="preserve">survey data </w:t>
      </w:r>
      <w:r w:rsidR="00503313">
        <w:rPr>
          <w:rFonts w:cstheme="minorHAnsi"/>
          <w:color w:val="323132"/>
          <w:shd w:val="clear" w:color="auto" w:fill="FFFFFF"/>
        </w:rPr>
        <w:t xml:space="preserve">collection </w:t>
      </w:r>
      <w:r w:rsidRPr="006664D1">
        <w:rPr>
          <w:rFonts w:cstheme="minorHAnsi"/>
          <w:color w:val="323132"/>
          <w:shd w:val="clear" w:color="auto" w:fill="FFFFFF"/>
        </w:rPr>
        <w:t xml:space="preserve">will </w:t>
      </w:r>
      <w:r w:rsidR="00503313" w:rsidRPr="006664D1">
        <w:rPr>
          <w:rFonts w:cstheme="minorHAnsi"/>
          <w:color w:val="323132"/>
          <w:shd w:val="clear" w:color="auto" w:fill="FFFFFF"/>
        </w:rPr>
        <w:t xml:space="preserve">predominantly </w:t>
      </w:r>
      <w:r w:rsidR="00503313">
        <w:rPr>
          <w:rFonts w:cstheme="minorHAnsi"/>
          <w:color w:val="323132"/>
          <w:shd w:val="clear" w:color="auto" w:fill="FFFFFF"/>
        </w:rPr>
        <w:t>use</w:t>
      </w:r>
      <w:r w:rsidRPr="006664D1">
        <w:rPr>
          <w:rFonts w:cstheme="minorHAnsi"/>
          <w:color w:val="323132"/>
          <w:shd w:val="clear" w:color="auto" w:fill="FFFFFF"/>
        </w:rPr>
        <w:t xml:space="preserve"> online methods</w:t>
      </w:r>
      <w:r w:rsidR="006A3C91">
        <w:rPr>
          <w:rFonts w:cstheme="minorHAnsi"/>
          <w:color w:val="323132"/>
          <w:shd w:val="clear" w:color="auto" w:fill="FFFFFF"/>
        </w:rPr>
        <w:t>,</w:t>
      </w:r>
      <w:r w:rsidRPr="006664D1">
        <w:rPr>
          <w:rFonts w:cstheme="minorHAnsi"/>
          <w:color w:val="323132"/>
          <w:shd w:val="clear" w:color="auto" w:fill="FFFFFF"/>
        </w:rPr>
        <w:t xml:space="preserve"> </w:t>
      </w:r>
      <w:r w:rsidR="006A3C91">
        <w:rPr>
          <w:rFonts w:cstheme="minorHAnsi"/>
          <w:color w:val="323132"/>
          <w:shd w:val="clear" w:color="auto" w:fill="FFFFFF"/>
        </w:rPr>
        <w:t xml:space="preserve">supported by </w:t>
      </w:r>
      <w:r w:rsidRPr="006664D1">
        <w:rPr>
          <w:rFonts w:cstheme="minorHAnsi"/>
          <w:color w:val="323132"/>
          <w:shd w:val="clear" w:color="auto" w:fill="FFFFFF"/>
        </w:rPr>
        <w:t>face-to-face</w:t>
      </w:r>
      <w:r w:rsidR="00503313">
        <w:rPr>
          <w:rFonts w:cstheme="minorHAnsi"/>
          <w:color w:val="323132"/>
          <w:shd w:val="clear" w:color="auto" w:fill="FFFFFF"/>
        </w:rPr>
        <w:t xml:space="preserve"> and telephone</w:t>
      </w:r>
      <w:r w:rsidRPr="006664D1">
        <w:rPr>
          <w:rFonts w:cstheme="minorHAnsi"/>
          <w:color w:val="323132"/>
          <w:shd w:val="clear" w:color="auto" w:fill="FFFFFF"/>
        </w:rPr>
        <w:t xml:space="preserve"> interviews</w:t>
      </w:r>
    </w:p>
    <w:p w14:paraId="47AEF8BC" w14:textId="2D8427FE" w:rsidR="004923AE" w:rsidRPr="006664D1" w:rsidRDefault="004923AE" w:rsidP="008B54F2">
      <w:pPr>
        <w:pStyle w:val="ListParagraph"/>
        <w:numPr>
          <w:ilvl w:val="0"/>
          <w:numId w:val="4"/>
        </w:numPr>
        <w:jc w:val="both"/>
        <w:rPr>
          <w:rFonts w:cstheme="minorHAnsi"/>
        </w:rPr>
      </w:pPr>
      <w:r w:rsidRPr="006664D1">
        <w:rPr>
          <w:rFonts w:cstheme="minorHAnsi"/>
          <w:b/>
          <w:color w:val="323132"/>
        </w:rPr>
        <w:t>Statistical redesign and rationalisation</w:t>
      </w:r>
      <w:r w:rsidRPr="006664D1">
        <w:rPr>
          <w:rFonts w:cstheme="minorHAnsi"/>
          <w:color w:val="323132"/>
        </w:rPr>
        <w:t xml:space="preserve">: wherever possible we will bring </w:t>
      </w:r>
      <w:r w:rsidR="00682F6C">
        <w:rPr>
          <w:rFonts w:cstheme="minorHAnsi"/>
          <w:color w:val="323132"/>
        </w:rPr>
        <w:t xml:space="preserve">residual </w:t>
      </w:r>
      <w:r w:rsidRPr="006664D1">
        <w:rPr>
          <w:rFonts w:cstheme="minorHAnsi"/>
          <w:color w:val="323132"/>
        </w:rPr>
        <w:t>s</w:t>
      </w:r>
      <w:r w:rsidR="00EA207E">
        <w:rPr>
          <w:rFonts w:cstheme="minorHAnsi"/>
          <w:color w:val="323132"/>
        </w:rPr>
        <w:t>urvey</w:t>
      </w:r>
      <w:r w:rsidR="00682F6C">
        <w:rPr>
          <w:rFonts w:cstheme="minorHAnsi"/>
          <w:color w:val="323132"/>
        </w:rPr>
        <w:t xml:space="preserve"> requirements</w:t>
      </w:r>
      <w:r w:rsidR="00EA207E">
        <w:rPr>
          <w:rFonts w:cstheme="minorHAnsi"/>
          <w:color w:val="323132"/>
        </w:rPr>
        <w:t xml:space="preserve"> together so that we minimise the need to ask for the same data across multiple surveys </w:t>
      </w:r>
    </w:p>
    <w:p w14:paraId="602B26FA" w14:textId="78F1785C" w:rsidR="00DB5A33" w:rsidRPr="006664D1" w:rsidRDefault="001A6389" w:rsidP="008B54F2">
      <w:pPr>
        <w:jc w:val="both"/>
        <w:rPr>
          <w:rFonts w:cstheme="minorHAnsi"/>
        </w:rPr>
      </w:pPr>
      <w:r w:rsidRPr="006664D1">
        <w:rPr>
          <w:rFonts w:cstheme="minorHAnsi"/>
        </w:rPr>
        <w:t>In this paper</w:t>
      </w:r>
      <w:r w:rsidR="004923AE" w:rsidRPr="006664D1">
        <w:rPr>
          <w:rFonts w:cstheme="minorHAnsi"/>
        </w:rPr>
        <w:t xml:space="preserve"> we </w:t>
      </w:r>
      <w:r w:rsidRPr="006664D1">
        <w:rPr>
          <w:rFonts w:cs="Times New Roman"/>
        </w:rPr>
        <w:t xml:space="preserve">describe the principles behind the </w:t>
      </w:r>
      <w:r w:rsidR="00F77E7A">
        <w:rPr>
          <w:rFonts w:cs="Times New Roman"/>
        </w:rPr>
        <w:t>IPACS</w:t>
      </w:r>
      <w:r w:rsidR="00EA207E">
        <w:rPr>
          <w:rFonts w:cstheme="minorHAnsi"/>
        </w:rPr>
        <w:t xml:space="preserve">, </w:t>
      </w:r>
      <w:r w:rsidR="00A0717C" w:rsidRPr="006664D1">
        <w:rPr>
          <w:rFonts w:cstheme="minorHAnsi"/>
        </w:rPr>
        <w:t xml:space="preserve">testing </w:t>
      </w:r>
      <w:r w:rsidRPr="006664D1">
        <w:rPr>
          <w:rFonts w:cstheme="minorHAnsi"/>
        </w:rPr>
        <w:t>undertaken</w:t>
      </w:r>
      <w:r w:rsidR="00A0717C" w:rsidRPr="006664D1">
        <w:rPr>
          <w:rFonts w:cstheme="minorHAnsi"/>
        </w:rPr>
        <w:t xml:space="preserve"> to date and</w:t>
      </w:r>
      <w:r w:rsidR="00EA207E">
        <w:rPr>
          <w:rFonts w:cstheme="minorHAnsi"/>
        </w:rPr>
        <w:t xml:space="preserve"> our future test plans</w:t>
      </w:r>
      <w:r w:rsidR="00A0717C" w:rsidRPr="006664D1">
        <w:rPr>
          <w:rFonts w:cstheme="minorHAnsi"/>
        </w:rPr>
        <w:t xml:space="preserve"> </w:t>
      </w:r>
      <w:r w:rsidRPr="006664D1">
        <w:rPr>
          <w:rFonts w:cstheme="minorHAnsi"/>
        </w:rPr>
        <w:t>between now and 2022</w:t>
      </w:r>
      <w:r w:rsidR="00EA207E">
        <w:rPr>
          <w:rFonts w:cstheme="minorHAnsi"/>
        </w:rPr>
        <w:t>. K</w:t>
      </w:r>
      <w:r w:rsidR="004923AE" w:rsidRPr="006664D1">
        <w:rPr>
          <w:rFonts w:cstheme="minorHAnsi"/>
        </w:rPr>
        <w:t xml:space="preserve">ey methodological considerations underpinning </w:t>
      </w:r>
      <w:r w:rsidR="00A0717C" w:rsidRPr="006664D1">
        <w:rPr>
          <w:rFonts w:cstheme="minorHAnsi"/>
        </w:rPr>
        <w:t xml:space="preserve">an </w:t>
      </w:r>
      <w:r w:rsidR="00F77E7A">
        <w:rPr>
          <w:rFonts w:cstheme="minorHAnsi"/>
        </w:rPr>
        <w:t>IPACS</w:t>
      </w:r>
      <w:r w:rsidR="00EA207E">
        <w:rPr>
          <w:rFonts w:cstheme="minorHAnsi"/>
        </w:rPr>
        <w:t xml:space="preserve"> will be highlighted also</w:t>
      </w:r>
      <w:r w:rsidR="00A0717C" w:rsidRPr="006664D1">
        <w:rPr>
          <w:rFonts w:cstheme="minorHAnsi"/>
        </w:rPr>
        <w:t>.</w:t>
      </w:r>
    </w:p>
    <w:p w14:paraId="7DAA60AE" w14:textId="1B26211B" w:rsidR="005C0C9B" w:rsidRDefault="00961AD5" w:rsidP="00AF0142">
      <w:pPr>
        <w:pStyle w:val="Heading1"/>
        <w:jc w:val="both"/>
        <w:rPr>
          <w:rFonts w:asciiTheme="minorHAnsi" w:hAnsiTheme="minorHAnsi"/>
          <w:highlight w:val="yellow"/>
        </w:rPr>
      </w:pPr>
      <w:r>
        <w:rPr>
          <w:rFonts w:asciiTheme="minorHAnsi" w:hAnsiTheme="minorHAnsi"/>
        </w:rPr>
        <w:t>2.0</w:t>
      </w:r>
      <w:r>
        <w:rPr>
          <w:rFonts w:asciiTheme="minorHAnsi" w:hAnsiTheme="minorHAnsi"/>
        </w:rPr>
        <w:tab/>
      </w:r>
      <w:r w:rsidR="00DB5A33" w:rsidRPr="006664D1">
        <w:rPr>
          <w:rFonts w:asciiTheme="minorHAnsi" w:hAnsiTheme="minorHAnsi"/>
        </w:rPr>
        <w:t>Background</w:t>
      </w:r>
    </w:p>
    <w:p w14:paraId="76BE807B" w14:textId="4E416280" w:rsidR="00903C89" w:rsidRPr="006664D1" w:rsidRDefault="00961AD5" w:rsidP="00AF0142">
      <w:pPr>
        <w:pStyle w:val="Heading2"/>
        <w:jc w:val="both"/>
        <w:rPr>
          <w:rFonts w:asciiTheme="minorHAnsi" w:hAnsiTheme="minorHAnsi"/>
        </w:rPr>
      </w:pPr>
      <w:r>
        <w:rPr>
          <w:rFonts w:asciiTheme="minorHAnsi" w:hAnsiTheme="minorHAnsi"/>
        </w:rPr>
        <w:t>2.1</w:t>
      </w:r>
      <w:r>
        <w:rPr>
          <w:rFonts w:asciiTheme="minorHAnsi" w:hAnsiTheme="minorHAnsi"/>
        </w:rPr>
        <w:tab/>
      </w:r>
      <w:r w:rsidR="00903C89" w:rsidRPr="006664D1">
        <w:rPr>
          <w:rFonts w:asciiTheme="minorHAnsi" w:hAnsiTheme="minorHAnsi"/>
        </w:rPr>
        <w:t>Population &amp; Migration Statistics Transformation</w:t>
      </w:r>
    </w:p>
    <w:p w14:paraId="0553E41A" w14:textId="77777777" w:rsidR="00903C89" w:rsidRPr="006664D1" w:rsidRDefault="00903C89" w:rsidP="00AF0142">
      <w:pPr>
        <w:pStyle w:val="NormalWeb"/>
        <w:jc w:val="both"/>
        <w:rPr>
          <w:rFonts w:asciiTheme="minorHAnsi" w:eastAsiaTheme="minorHAnsi" w:hAnsiTheme="minorHAnsi" w:cstheme="minorBidi"/>
          <w:sz w:val="22"/>
          <w:szCs w:val="22"/>
          <w:lang w:eastAsia="en-US"/>
        </w:rPr>
      </w:pPr>
      <w:r w:rsidRPr="006664D1">
        <w:rPr>
          <w:rFonts w:asciiTheme="minorHAnsi" w:eastAsiaTheme="minorHAnsi" w:hAnsiTheme="minorHAnsi" w:cstheme="minorBidi"/>
          <w:sz w:val="22"/>
          <w:szCs w:val="22"/>
          <w:lang w:eastAsia="en-US"/>
        </w:rPr>
        <w:t xml:space="preserve">Population &amp; Migration Statistics Transformation (PMST) has developed a Statistical Population Dataset (SPD) to support the development of administrative data population estimates. This is constructed by linking 4 sources together that, when combined, are expected to </w:t>
      </w:r>
      <w:r>
        <w:rPr>
          <w:rFonts w:asciiTheme="minorHAnsi" w:eastAsiaTheme="minorHAnsi" w:hAnsiTheme="minorHAnsi" w:cstheme="minorBidi"/>
          <w:sz w:val="22"/>
          <w:szCs w:val="22"/>
          <w:lang w:eastAsia="en-US"/>
        </w:rPr>
        <w:t>cover a large proportion</w:t>
      </w:r>
      <w:r w:rsidRPr="006664D1">
        <w:rPr>
          <w:rFonts w:asciiTheme="minorHAnsi" w:eastAsiaTheme="minorHAnsi" w:hAnsiTheme="minorHAnsi" w:cstheme="minorBidi"/>
          <w:sz w:val="22"/>
          <w:szCs w:val="22"/>
          <w:lang w:eastAsia="en-US"/>
        </w:rPr>
        <w:t xml:space="preserve"> of the usual resident population</w:t>
      </w:r>
      <w:r>
        <w:rPr>
          <w:rFonts w:asciiTheme="minorHAnsi" w:eastAsiaTheme="minorHAnsi" w:hAnsiTheme="minorHAnsi" w:cstheme="minorBidi"/>
          <w:sz w:val="22"/>
          <w:szCs w:val="22"/>
          <w:lang w:eastAsia="en-US"/>
        </w:rPr>
        <w:t xml:space="preserve"> (including some overcoverage)</w:t>
      </w:r>
      <w:r w:rsidRPr="006664D1">
        <w:rPr>
          <w:rFonts w:asciiTheme="minorHAnsi" w:eastAsiaTheme="minorHAnsi" w:hAnsiTheme="minorHAnsi" w:cstheme="minorBidi"/>
          <w:sz w:val="22"/>
          <w:szCs w:val="22"/>
          <w:lang w:eastAsia="en-US"/>
        </w:rPr>
        <w:t xml:space="preserve">. These are: </w:t>
      </w:r>
    </w:p>
    <w:p w14:paraId="7E625ED5" w14:textId="77777777" w:rsidR="00903C89" w:rsidRPr="006664D1" w:rsidRDefault="00903C89" w:rsidP="00AF0142">
      <w:pPr>
        <w:pStyle w:val="NormalWeb"/>
        <w:numPr>
          <w:ilvl w:val="0"/>
          <w:numId w:val="7"/>
        </w:numPr>
        <w:jc w:val="both"/>
        <w:rPr>
          <w:rFonts w:asciiTheme="minorHAnsi" w:eastAsiaTheme="minorHAnsi" w:hAnsiTheme="minorHAnsi" w:cstheme="minorBidi"/>
          <w:sz w:val="22"/>
          <w:szCs w:val="22"/>
          <w:lang w:eastAsia="en-US"/>
        </w:rPr>
      </w:pPr>
      <w:r w:rsidRPr="006664D1">
        <w:rPr>
          <w:rFonts w:asciiTheme="minorHAnsi" w:eastAsiaTheme="minorHAnsi" w:hAnsiTheme="minorHAnsi" w:cstheme="minorBidi"/>
          <w:sz w:val="22"/>
          <w:szCs w:val="22"/>
          <w:lang w:eastAsia="en-US"/>
        </w:rPr>
        <w:t xml:space="preserve">The DWP Customer Information System (CIS) – a list of all NINo registrations </w:t>
      </w:r>
    </w:p>
    <w:p w14:paraId="1EDD03B9" w14:textId="77777777" w:rsidR="00903C89" w:rsidRPr="006664D1" w:rsidRDefault="00903C89" w:rsidP="00AF0142">
      <w:pPr>
        <w:pStyle w:val="NormalWeb"/>
        <w:numPr>
          <w:ilvl w:val="0"/>
          <w:numId w:val="7"/>
        </w:numPr>
        <w:jc w:val="both"/>
        <w:rPr>
          <w:rFonts w:asciiTheme="minorHAnsi" w:eastAsiaTheme="minorHAnsi" w:hAnsiTheme="minorHAnsi" w:cstheme="minorBidi"/>
          <w:sz w:val="22"/>
          <w:szCs w:val="22"/>
          <w:lang w:eastAsia="en-US"/>
        </w:rPr>
      </w:pPr>
      <w:r w:rsidRPr="006664D1">
        <w:rPr>
          <w:rFonts w:asciiTheme="minorHAnsi" w:eastAsiaTheme="minorHAnsi" w:hAnsiTheme="minorHAnsi" w:cstheme="minorBidi"/>
          <w:sz w:val="22"/>
          <w:szCs w:val="22"/>
          <w:lang w:eastAsia="en-US"/>
        </w:rPr>
        <w:t xml:space="preserve">The NHS Patient Register (PR) – a snapshot of current GP registrations  </w:t>
      </w:r>
    </w:p>
    <w:p w14:paraId="1FE48AE1" w14:textId="77777777" w:rsidR="00903C89" w:rsidRPr="006664D1" w:rsidRDefault="00903C89" w:rsidP="00AF0142">
      <w:pPr>
        <w:pStyle w:val="NormalWeb"/>
        <w:numPr>
          <w:ilvl w:val="0"/>
          <w:numId w:val="7"/>
        </w:numPr>
        <w:jc w:val="both"/>
        <w:rPr>
          <w:rFonts w:asciiTheme="minorHAnsi" w:eastAsiaTheme="minorHAnsi" w:hAnsiTheme="minorHAnsi" w:cstheme="minorBidi"/>
          <w:sz w:val="22"/>
          <w:szCs w:val="22"/>
          <w:lang w:eastAsia="en-US"/>
        </w:rPr>
      </w:pPr>
      <w:r w:rsidRPr="006664D1">
        <w:rPr>
          <w:rFonts w:asciiTheme="minorHAnsi" w:eastAsiaTheme="minorHAnsi" w:hAnsiTheme="minorHAnsi" w:cstheme="minorBidi"/>
          <w:sz w:val="22"/>
          <w:szCs w:val="22"/>
          <w:lang w:eastAsia="en-US"/>
        </w:rPr>
        <w:t xml:space="preserve">Higher Education Statistics Agency (HESA) – students registered in the year for higher education courses </w:t>
      </w:r>
    </w:p>
    <w:p w14:paraId="1DB095D5" w14:textId="77777777" w:rsidR="00903C89" w:rsidRPr="006664D1" w:rsidRDefault="00903C89" w:rsidP="00AF0142">
      <w:pPr>
        <w:pStyle w:val="NormalWeb"/>
        <w:numPr>
          <w:ilvl w:val="0"/>
          <w:numId w:val="7"/>
        </w:numPr>
        <w:jc w:val="both"/>
        <w:rPr>
          <w:rFonts w:asciiTheme="minorHAnsi" w:eastAsiaTheme="minorHAnsi" w:hAnsiTheme="minorHAnsi" w:cstheme="minorBidi"/>
          <w:sz w:val="22"/>
          <w:szCs w:val="22"/>
          <w:lang w:eastAsia="en-US"/>
        </w:rPr>
      </w:pPr>
      <w:r w:rsidRPr="006664D1">
        <w:rPr>
          <w:rFonts w:asciiTheme="minorHAnsi" w:eastAsiaTheme="minorHAnsi" w:hAnsiTheme="minorHAnsi" w:cstheme="minorBidi"/>
          <w:sz w:val="22"/>
          <w:szCs w:val="22"/>
          <w:lang w:eastAsia="en-US"/>
        </w:rPr>
        <w:t xml:space="preserve">The English and Welsh School Census (SC) – pupils registered in state schools </w:t>
      </w:r>
    </w:p>
    <w:p w14:paraId="1A70D9C8" w14:textId="77777777" w:rsidR="00903C89" w:rsidRDefault="00903C89" w:rsidP="00AF0142">
      <w:pPr>
        <w:pStyle w:val="NormalWeb"/>
        <w:jc w:val="both"/>
        <w:rPr>
          <w:rFonts w:asciiTheme="minorHAnsi" w:eastAsiaTheme="minorHAnsi" w:hAnsiTheme="minorHAnsi" w:cstheme="minorBidi"/>
          <w:sz w:val="22"/>
          <w:szCs w:val="22"/>
          <w:lang w:eastAsia="en-US"/>
        </w:rPr>
      </w:pPr>
      <w:r w:rsidRPr="006664D1">
        <w:rPr>
          <w:rFonts w:asciiTheme="minorHAnsi" w:eastAsiaTheme="minorHAnsi" w:hAnsiTheme="minorHAnsi" w:cstheme="minorBidi"/>
          <w:sz w:val="22"/>
          <w:szCs w:val="22"/>
          <w:lang w:eastAsia="en-US"/>
        </w:rPr>
        <w:lastRenderedPageBreak/>
        <w:t>These datasets are characterised by both undercoverage and overcoverage of population and an adjustment is required to account for them in population estimates.  Methods to account for under-coverage are already well established in traditional censuses, for example the Dual System Estimation (DSE) approach that was used for the 2001 and 2011 Census of England and Wales.  By linking multiple administrative sources to construct the SPD the level of population under-coverage is reduced. However, we still anticipate that there is some residual undercoverage and depending on the availability of additional data sources that can account for persons missing on the SPD, it is likely that a similar DSE adjustment may be needed to account for undercoverage.</w:t>
      </w:r>
    </w:p>
    <w:p w14:paraId="765F997B" w14:textId="14A8F138" w:rsidR="00903C89" w:rsidRDefault="00903C89" w:rsidP="00AF0142">
      <w:pPr>
        <w:pStyle w:val="NormalWeb"/>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Measuring and adjusting for over-coverage on the SPD represents a more significant challenge, particularly within a DSE framework. Amongst other assumptions, DSE requires that datasets used in the estimation framework are free from overcoverage. However, attempts to detect and remove over-coverage from the SPD have not been successful to date. Methods for measuring over-coverage are being pursued across a number of countries, and ONS are working with colleagues across NSIs to better understand the properties </w:t>
      </w:r>
      <w:r w:rsidR="001A37DC">
        <w:rPr>
          <w:rFonts w:asciiTheme="minorHAnsi" w:eastAsiaTheme="minorHAnsi" w:hAnsiTheme="minorHAnsi" w:cstheme="minorBidi"/>
          <w:sz w:val="22"/>
          <w:szCs w:val="22"/>
          <w:lang w:eastAsia="en-US"/>
        </w:rPr>
        <w:t xml:space="preserve">of </w:t>
      </w:r>
      <w:r>
        <w:rPr>
          <w:rFonts w:asciiTheme="minorHAnsi" w:eastAsiaTheme="minorHAnsi" w:hAnsiTheme="minorHAnsi" w:cstheme="minorBidi"/>
          <w:sz w:val="22"/>
          <w:szCs w:val="22"/>
          <w:lang w:eastAsia="en-US"/>
        </w:rPr>
        <w:t xml:space="preserve">estimators that incorporate over-coverage adjustment. As a consequence, future SPDs may be redesigned to best meet the properties of these estimators. </w:t>
      </w:r>
    </w:p>
    <w:p w14:paraId="4C8FFCFE" w14:textId="303ABDFF" w:rsidR="00903C89" w:rsidRPr="004B326F" w:rsidRDefault="00903C89" w:rsidP="00AF0142">
      <w:pPr>
        <w:pStyle w:val="NormalWeb"/>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concept of ‘dependent interviewing’, which involves sampling households and directly checking whether persons listed on administrative records are resident at the address, has been explored as an option for ONS, but ruled out due to sensitivities regarding the disclosure of information about previous residents.</w:t>
      </w:r>
      <w:r w:rsidR="00A96DD7">
        <w:rPr>
          <w:rFonts w:asciiTheme="minorHAnsi" w:eastAsiaTheme="minorHAnsi" w:hAnsiTheme="minorHAnsi" w:cstheme="minorBidi"/>
          <w:sz w:val="22"/>
          <w:szCs w:val="22"/>
          <w:lang w:eastAsia="en-US"/>
        </w:rPr>
        <w:t xml:space="preserve"> </w:t>
      </w:r>
      <w:r w:rsidRPr="006664D1">
        <w:rPr>
          <w:rFonts w:asciiTheme="minorHAnsi" w:eastAsiaTheme="minorHAnsi" w:hAnsiTheme="minorHAnsi" w:cstheme="minorBidi"/>
          <w:sz w:val="22"/>
          <w:szCs w:val="22"/>
          <w:lang w:eastAsia="en-US"/>
        </w:rPr>
        <w:t xml:space="preserve">It is </w:t>
      </w:r>
      <w:r>
        <w:rPr>
          <w:rFonts w:asciiTheme="minorHAnsi" w:eastAsiaTheme="minorHAnsi" w:hAnsiTheme="minorHAnsi" w:cstheme="minorBidi"/>
          <w:sz w:val="22"/>
          <w:szCs w:val="22"/>
          <w:lang w:eastAsia="en-US"/>
        </w:rPr>
        <w:t xml:space="preserve">now </w:t>
      </w:r>
      <w:r w:rsidRPr="006664D1">
        <w:rPr>
          <w:rFonts w:asciiTheme="minorHAnsi" w:eastAsiaTheme="minorHAnsi" w:hAnsiTheme="minorHAnsi" w:cstheme="minorBidi"/>
          <w:sz w:val="22"/>
          <w:szCs w:val="22"/>
          <w:lang w:eastAsia="en-US"/>
        </w:rPr>
        <w:t xml:space="preserve">proposed that an ongoing Population Coverage Survey (PCS) for collection on a continuous basis </w:t>
      </w:r>
      <w:r>
        <w:rPr>
          <w:rFonts w:asciiTheme="minorHAnsi" w:eastAsiaTheme="minorHAnsi" w:hAnsiTheme="minorHAnsi" w:cstheme="minorBidi"/>
          <w:sz w:val="22"/>
          <w:szCs w:val="22"/>
          <w:lang w:eastAsia="en-US"/>
        </w:rPr>
        <w:t>be</w:t>
      </w:r>
      <w:r w:rsidRPr="006664D1">
        <w:rPr>
          <w:rFonts w:asciiTheme="minorHAnsi" w:eastAsiaTheme="minorHAnsi" w:hAnsiTheme="minorHAnsi" w:cstheme="minorBidi"/>
          <w:sz w:val="22"/>
          <w:szCs w:val="22"/>
          <w:lang w:eastAsia="en-US"/>
        </w:rPr>
        <w:t xml:space="preserve"> developed to measure and adjust for the </w:t>
      </w:r>
      <w:r>
        <w:rPr>
          <w:rFonts w:asciiTheme="minorHAnsi" w:eastAsiaTheme="minorHAnsi" w:hAnsiTheme="minorHAnsi" w:cstheme="minorBidi"/>
          <w:sz w:val="22"/>
          <w:szCs w:val="22"/>
          <w:lang w:eastAsia="en-US"/>
        </w:rPr>
        <w:t>both under and over-</w:t>
      </w:r>
      <w:r w:rsidRPr="006664D1">
        <w:rPr>
          <w:rFonts w:asciiTheme="minorHAnsi" w:eastAsiaTheme="minorHAnsi" w:hAnsiTheme="minorHAnsi" w:cstheme="minorBidi"/>
          <w:sz w:val="22"/>
          <w:szCs w:val="22"/>
          <w:lang w:eastAsia="en-US"/>
        </w:rPr>
        <w:t>coverage biases.</w:t>
      </w:r>
      <w:r>
        <w:rPr>
          <w:rFonts w:asciiTheme="minorHAnsi" w:eastAsiaTheme="minorHAnsi" w:hAnsiTheme="minorHAnsi" w:cstheme="minorBidi"/>
          <w:sz w:val="22"/>
          <w:szCs w:val="22"/>
          <w:lang w:eastAsia="en-US"/>
        </w:rPr>
        <w:t xml:space="preserve"> </w:t>
      </w:r>
    </w:p>
    <w:p w14:paraId="45C04730" w14:textId="559AF7A1" w:rsidR="00EB7F83" w:rsidRPr="006664D1" w:rsidRDefault="00961AD5" w:rsidP="00AF0142">
      <w:pPr>
        <w:pStyle w:val="Heading2"/>
        <w:jc w:val="both"/>
        <w:rPr>
          <w:rFonts w:asciiTheme="minorHAnsi" w:hAnsiTheme="minorHAnsi"/>
        </w:rPr>
      </w:pPr>
      <w:r>
        <w:rPr>
          <w:rFonts w:asciiTheme="minorHAnsi" w:hAnsiTheme="minorHAnsi"/>
        </w:rPr>
        <w:t>2.2</w:t>
      </w:r>
      <w:r>
        <w:rPr>
          <w:rFonts w:asciiTheme="minorHAnsi" w:hAnsiTheme="minorHAnsi"/>
        </w:rPr>
        <w:tab/>
      </w:r>
      <w:r w:rsidR="00EB7F83" w:rsidRPr="006664D1">
        <w:rPr>
          <w:rFonts w:asciiTheme="minorHAnsi" w:hAnsiTheme="minorHAnsi"/>
        </w:rPr>
        <w:t>Social Survey Transformation</w:t>
      </w:r>
    </w:p>
    <w:p w14:paraId="1DEEB8AA" w14:textId="59665C7A" w:rsidR="009D1AA1" w:rsidRPr="006664D1" w:rsidRDefault="000A7210" w:rsidP="008B54F2">
      <w:pPr>
        <w:jc w:val="both"/>
        <w:rPr>
          <w:rFonts w:cstheme="minorHAnsi"/>
        </w:rPr>
      </w:pPr>
      <w:r w:rsidRPr="0010576F">
        <w:rPr>
          <w:rFonts w:cstheme="minorHAnsi"/>
        </w:rPr>
        <w:t xml:space="preserve">Within the context of the Census and Data Collection Transformation Programme, </w:t>
      </w:r>
      <w:r w:rsidR="009D1AA1" w:rsidRPr="0010576F">
        <w:rPr>
          <w:rFonts w:cstheme="minorHAnsi"/>
        </w:rPr>
        <w:t>Social Survey Transformation (SST) is responsible for transforming the statistical design of the current household survey po</w:t>
      </w:r>
      <w:r w:rsidR="00F72D46" w:rsidRPr="0010576F">
        <w:rPr>
          <w:rFonts w:cstheme="minorHAnsi"/>
        </w:rPr>
        <w:t>rtfolio,</w:t>
      </w:r>
      <w:r w:rsidR="00A812C7" w:rsidRPr="0010576F">
        <w:rPr>
          <w:rFonts w:cstheme="minorHAnsi"/>
        </w:rPr>
        <w:t xml:space="preserve"> from one that has little </w:t>
      </w:r>
      <w:r w:rsidR="00C21342" w:rsidRPr="0010576F">
        <w:rPr>
          <w:rFonts w:cstheme="minorHAnsi"/>
        </w:rPr>
        <w:t>to</w:t>
      </w:r>
      <w:r w:rsidR="00A812C7" w:rsidRPr="0010576F">
        <w:rPr>
          <w:rFonts w:cstheme="minorHAnsi"/>
        </w:rPr>
        <w:t xml:space="preserve"> no integration across survey designs</w:t>
      </w:r>
      <w:r w:rsidR="00F72D46" w:rsidRPr="0010576F">
        <w:rPr>
          <w:rFonts w:cstheme="minorHAnsi"/>
        </w:rPr>
        <w:t xml:space="preserve"> into an integrated </w:t>
      </w:r>
      <w:r w:rsidR="00D7099E">
        <w:rPr>
          <w:rFonts w:cstheme="minorHAnsi"/>
        </w:rPr>
        <w:t>design</w:t>
      </w:r>
      <w:r w:rsidR="00A812C7" w:rsidRPr="0010576F">
        <w:rPr>
          <w:rFonts w:cstheme="minorHAnsi"/>
        </w:rPr>
        <w:t xml:space="preserve">. </w:t>
      </w:r>
    </w:p>
    <w:p w14:paraId="6A2F0D66" w14:textId="3F30FE38" w:rsidR="009D1AA1" w:rsidRPr="006664D1" w:rsidRDefault="009D1AA1" w:rsidP="00AF0142">
      <w:pPr>
        <w:jc w:val="both"/>
        <w:rPr>
          <w:rFonts w:cstheme="minorHAnsi"/>
        </w:rPr>
      </w:pPr>
      <w:r w:rsidRPr="006664D1">
        <w:rPr>
          <w:rFonts w:cstheme="minorHAnsi"/>
        </w:rPr>
        <w:t>Our vision is to deliver an integ</w:t>
      </w:r>
      <w:r w:rsidR="00F72D46">
        <w:rPr>
          <w:rFonts w:cstheme="minorHAnsi"/>
        </w:rPr>
        <w:t xml:space="preserve">rated </w:t>
      </w:r>
      <w:r w:rsidR="00FF44D7">
        <w:rPr>
          <w:rFonts w:cstheme="minorHAnsi"/>
        </w:rPr>
        <w:t xml:space="preserve">approach </w:t>
      </w:r>
      <w:r w:rsidRPr="006664D1">
        <w:rPr>
          <w:rFonts w:cstheme="minorHAnsi"/>
        </w:rPr>
        <w:t xml:space="preserve">which utilises non-survey data as the </w:t>
      </w:r>
      <w:r w:rsidR="00D33608">
        <w:rPr>
          <w:rFonts w:cstheme="minorHAnsi"/>
        </w:rPr>
        <w:t xml:space="preserve">primary source </w:t>
      </w:r>
      <w:r w:rsidR="00C21342">
        <w:rPr>
          <w:rFonts w:cstheme="minorHAnsi"/>
        </w:rPr>
        <w:t>f</w:t>
      </w:r>
      <w:r w:rsidRPr="006664D1">
        <w:rPr>
          <w:rFonts w:cstheme="minorHAnsi"/>
        </w:rPr>
        <w:t>or household data outputs</w:t>
      </w:r>
      <w:r w:rsidR="00D33608">
        <w:rPr>
          <w:rFonts w:cstheme="minorHAnsi"/>
        </w:rPr>
        <w:t>.  This is dependent upon such data being assessed as meeting quality requirements for the outputs in question.  Non-survey data shall</w:t>
      </w:r>
      <w:r w:rsidRPr="006664D1">
        <w:rPr>
          <w:rFonts w:cstheme="minorHAnsi"/>
        </w:rPr>
        <w:t xml:space="preserve"> also </w:t>
      </w:r>
      <w:r w:rsidR="00D33608">
        <w:rPr>
          <w:rFonts w:cstheme="minorHAnsi"/>
        </w:rPr>
        <w:t xml:space="preserve">be used </w:t>
      </w:r>
      <w:r w:rsidRPr="006664D1">
        <w:rPr>
          <w:rFonts w:cstheme="minorHAnsi"/>
        </w:rPr>
        <w:t xml:space="preserve">as a means of designing better samples for those </w:t>
      </w:r>
      <w:r w:rsidR="00D33608">
        <w:rPr>
          <w:rFonts w:cstheme="minorHAnsi"/>
        </w:rPr>
        <w:t xml:space="preserve">residual </w:t>
      </w:r>
      <w:r w:rsidRPr="006664D1">
        <w:rPr>
          <w:rFonts w:cstheme="minorHAnsi"/>
        </w:rPr>
        <w:t xml:space="preserve">surveys that will be required </w:t>
      </w:r>
      <w:r w:rsidR="009D39A7">
        <w:rPr>
          <w:rFonts w:cstheme="minorHAnsi"/>
        </w:rPr>
        <w:t xml:space="preserve">to </w:t>
      </w:r>
      <w:r w:rsidRPr="006664D1">
        <w:rPr>
          <w:rFonts w:cstheme="minorHAnsi"/>
        </w:rPr>
        <w:t xml:space="preserve">complement </w:t>
      </w:r>
      <w:r w:rsidR="009D39A7">
        <w:rPr>
          <w:rFonts w:cstheme="minorHAnsi"/>
        </w:rPr>
        <w:t>these</w:t>
      </w:r>
      <w:r w:rsidRPr="006664D1">
        <w:rPr>
          <w:rFonts w:cstheme="minorHAnsi"/>
        </w:rPr>
        <w:t xml:space="preserve"> data sources.</w:t>
      </w:r>
    </w:p>
    <w:p w14:paraId="40E0A9F1" w14:textId="7D4D4A9F" w:rsidR="009D1AA1" w:rsidRPr="006664D1" w:rsidRDefault="006C255E" w:rsidP="008B54F2">
      <w:pPr>
        <w:jc w:val="both"/>
        <w:rPr>
          <w:rFonts w:cstheme="minorHAnsi"/>
        </w:rPr>
      </w:pPr>
      <w:r>
        <w:rPr>
          <w:rFonts w:cstheme="minorHAnsi"/>
        </w:rPr>
        <w:t xml:space="preserve">Surveys will </w:t>
      </w:r>
      <w:r w:rsidR="00011460">
        <w:rPr>
          <w:rFonts w:cstheme="minorHAnsi"/>
        </w:rPr>
        <w:t xml:space="preserve">be </w:t>
      </w:r>
      <w:r>
        <w:rPr>
          <w:rFonts w:cstheme="minorHAnsi"/>
        </w:rPr>
        <w:t xml:space="preserve">‘digital by default’ </w:t>
      </w:r>
      <w:r w:rsidR="000A7210">
        <w:rPr>
          <w:rFonts w:cstheme="minorHAnsi"/>
        </w:rPr>
        <w:t xml:space="preserve">where possible </w:t>
      </w:r>
      <w:r w:rsidR="00F72D46">
        <w:rPr>
          <w:rFonts w:cstheme="minorHAnsi"/>
        </w:rPr>
        <w:t xml:space="preserve">but </w:t>
      </w:r>
      <w:r w:rsidR="002060DF">
        <w:rPr>
          <w:rFonts w:cstheme="minorHAnsi"/>
        </w:rPr>
        <w:t>will utilise a</w:t>
      </w:r>
      <w:r w:rsidR="00ED6B06">
        <w:rPr>
          <w:rFonts w:cstheme="minorHAnsi"/>
        </w:rPr>
        <w:t xml:space="preserve">n online only mode for an initial period, followed by concurrent </w:t>
      </w:r>
      <w:r w:rsidR="002060DF">
        <w:rPr>
          <w:rFonts w:cstheme="minorHAnsi"/>
        </w:rPr>
        <w:t>mixed mode</w:t>
      </w:r>
      <w:r w:rsidR="00ED6B06">
        <w:rPr>
          <w:rFonts w:cstheme="minorHAnsi"/>
        </w:rPr>
        <w:t xml:space="preserve"> methods</w:t>
      </w:r>
      <w:r w:rsidR="002060DF">
        <w:rPr>
          <w:rFonts w:cstheme="minorHAnsi"/>
        </w:rPr>
        <w:t xml:space="preserve"> </w:t>
      </w:r>
      <w:r w:rsidR="00ED6B06">
        <w:rPr>
          <w:rFonts w:cstheme="minorHAnsi"/>
        </w:rPr>
        <w:t>(</w:t>
      </w:r>
      <w:r w:rsidR="009D39A7">
        <w:rPr>
          <w:rFonts w:cstheme="minorHAnsi"/>
        </w:rPr>
        <w:t xml:space="preserve">online, </w:t>
      </w:r>
      <w:r w:rsidR="00ED6B06">
        <w:rPr>
          <w:rFonts w:cstheme="minorHAnsi"/>
        </w:rPr>
        <w:t>face-to-face and telephone)</w:t>
      </w:r>
      <w:r w:rsidR="00F72D46">
        <w:rPr>
          <w:rFonts w:cstheme="minorHAnsi"/>
        </w:rPr>
        <w:t xml:space="preserve">. </w:t>
      </w:r>
      <w:r w:rsidR="009D1AA1" w:rsidRPr="006664D1">
        <w:rPr>
          <w:rFonts w:cstheme="minorHAnsi"/>
        </w:rPr>
        <w:t>This vision and the plans that underpin it align with the Authority’s strategic objectives of increasing on-line collection, survey rationalisation and greater integration of non-survey data sources into statistical outputs.</w:t>
      </w:r>
    </w:p>
    <w:p w14:paraId="743CACD0" w14:textId="678B7A1D" w:rsidR="00317B03" w:rsidRPr="006664D1" w:rsidRDefault="009D1AA1" w:rsidP="008B54F2">
      <w:pPr>
        <w:jc w:val="both"/>
      </w:pPr>
      <w:r w:rsidRPr="006664D1">
        <w:t>SST</w:t>
      </w:r>
      <w:r w:rsidR="00317B03" w:rsidRPr="006664D1">
        <w:t xml:space="preserve"> </w:t>
      </w:r>
      <w:r w:rsidR="00236041" w:rsidRPr="006664D1">
        <w:t>is</w:t>
      </w:r>
      <w:r w:rsidR="00317B03" w:rsidRPr="006664D1">
        <w:t xml:space="preserve"> responsible for the transform</w:t>
      </w:r>
      <w:r w:rsidR="000A7210">
        <w:t>ation of</w:t>
      </w:r>
      <w:r w:rsidR="00236041" w:rsidRPr="006664D1">
        <w:t xml:space="preserve"> </w:t>
      </w:r>
      <w:r w:rsidR="00317B03" w:rsidRPr="006664D1">
        <w:t xml:space="preserve">the </w:t>
      </w:r>
      <w:r w:rsidR="00F72D46">
        <w:t>Labour Force Survey (LF</w:t>
      </w:r>
      <w:r w:rsidR="00317B03" w:rsidRPr="006664D1">
        <w:t xml:space="preserve">S), the Household Financial </w:t>
      </w:r>
      <w:r w:rsidR="00317B03" w:rsidRPr="0010576F">
        <w:rPr>
          <w:shd w:val="clear" w:color="auto" w:fill="FFFFFF" w:themeFill="background1"/>
        </w:rPr>
        <w:t>Surveys (</w:t>
      </w:r>
      <w:r w:rsidR="00BE38C1" w:rsidRPr="0010576F">
        <w:rPr>
          <w:shd w:val="clear" w:color="auto" w:fill="FFFFFF" w:themeFill="background1"/>
        </w:rPr>
        <w:t xml:space="preserve">encompassing the </w:t>
      </w:r>
      <w:r w:rsidR="00317B03" w:rsidRPr="0010576F">
        <w:rPr>
          <w:shd w:val="clear" w:color="auto" w:fill="FFFFFF" w:themeFill="background1"/>
        </w:rPr>
        <w:t>Living Cost &amp; Food Survey (LCF), Survey on Living Conditions (</w:t>
      </w:r>
      <w:r w:rsidR="009D39A7" w:rsidRPr="0010576F">
        <w:rPr>
          <w:shd w:val="clear" w:color="auto" w:fill="FFFFFF" w:themeFill="background1"/>
        </w:rPr>
        <w:t>SLC</w:t>
      </w:r>
      <w:r w:rsidR="00317B03" w:rsidRPr="0010576F">
        <w:rPr>
          <w:shd w:val="clear" w:color="auto" w:fill="FFFFFF" w:themeFill="background1"/>
        </w:rPr>
        <w:t>)</w:t>
      </w:r>
      <w:r w:rsidR="009D39A7" w:rsidRPr="0010576F">
        <w:rPr>
          <w:shd w:val="clear" w:color="auto" w:fill="FFFFFF" w:themeFill="background1"/>
        </w:rPr>
        <w:t xml:space="preserve">, </w:t>
      </w:r>
      <w:r w:rsidR="00317B03" w:rsidRPr="0010576F">
        <w:rPr>
          <w:shd w:val="clear" w:color="auto" w:fill="FFFFFF" w:themeFill="background1"/>
        </w:rPr>
        <w:t>Wealth and Assets Survey (WAS)</w:t>
      </w:r>
      <w:r w:rsidR="00F72D46" w:rsidRPr="0010576F">
        <w:rPr>
          <w:shd w:val="clear" w:color="auto" w:fill="FFFFFF" w:themeFill="background1"/>
        </w:rPr>
        <w:t xml:space="preserve"> and </w:t>
      </w:r>
      <w:r w:rsidR="00317B03" w:rsidRPr="0010576F">
        <w:rPr>
          <w:shd w:val="clear" w:color="auto" w:fill="FFFFFF" w:themeFill="background1"/>
        </w:rPr>
        <w:t>the Opinions and Lifestyle Survey (OPN).  Work to date has focussed on transformation of the</w:t>
      </w:r>
      <w:r w:rsidR="009F15B8" w:rsidRPr="0010576F">
        <w:rPr>
          <w:shd w:val="clear" w:color="auto" w:fill="FFFFFF" w:themeFill="background1"/>
        </w:rPr>
        <w:t xml:space="preserve"> </w:t>
      </w:r>
      <w:r w:rsidR="006314DA" w:rsidRPr="0010576F">
        <w:rPr>
          <w:shd w:val="clear" w:color="auto" w:fill="FFFFFF" w:themeFill="background1"/>
        </w:rPr>
        <w:t>L</w:t>
      </w:r>
      <w:r w:rsidR="009F15B8" w:rsidRPr="0010576F">
        <w:rPr>
          <w:shd w:val="clear" w:color="auto" w:fill="FFFFFF" w:themeFill="background1"/>
        </w:rPr>
        <w:t xml:space="preserve">abour </w:t>
      </w:r>
      <w:r w:rsidR="006314DA" w:rsidRPr="0010576F">
        <w:rPr>
          <w:shd w:val="clear" w:color="auto" w:fill="FFFFFF" w:themeFill="background1"/>
        </w:rPr>
        <w:t>Force Survey</w:t>
      </w:r>
      <w:r w:rsidR="009D39A7" w:rsidRPr="0010576F">
        <w:rPr>
          <w:shd w:val="clear" w:color="auto" w:fill="FFFFFF" w:themeFill="background1"/>
        </w:rPr>
        <w:t xml:space="preserve">; </w:t>
      </w:r>
      <w:r w:rsidR="006314DA" w:rsidRPr="0010576F">
        <w:rPr>
          <w:shd w:val="clear" w:color="auto" w:fill="FFFFFF" w:themeFill="background1"/>
        </w:rPr>
        <w:t xml:space="preserve">a prototype version of a questionnaire including core labour </w:t>
      </w:r>
      <w:r w:rsidR="009F15B8" w:rsidRPr="0010576F">
        <w:rPr>
          <w:shd w:val="clear" w:color="auto" w:fill="FFFFFF" w:themeFill="background1"/>
        </w:rPr>
        <w:t xml:space="preserve">market variables </w:t>
      </w:r>
      <w:r w:rsidR="009D39A7" w:rsidRPr="0010576F">
        <w:rPr>
          <w:shd w:val="clear" w:color="auto" w:fill="FFFFFF" w:themeFill="background1"/>
        </w:rPr>
        <w:t xml:space="preserve">has been developed – this is referred to as the Labour Market Survey (LMS).  </w:t>
      </w:r>
      <w:r w:rsidR="00317B03" w:rsidRPr="0010576F">
        <w:rPr>
          <w:shd w:val="clear" w:color="auto" w:fill="FFFFFF" w:themeFill="background1"/>
        </w:rPr>
        <w:t xml:space="preserve"> </w:t>
      </w:r>
      <w:r w:rsidR="00F72D46" w:rsidRPr="0010576F">
        <w:rPr>
          <w:shd w:val="clear" w:color="auto" w:fill="FFFFFF" w:themeFill="background1"/>
        </w:rPr>
        <w:t>Work</w:t>
      </w:r>
      <w:r w:rsidR="00317B03" w:rsidRPr="0010576F">
        <w:rPr>
          <w:shd w:val="clear" w:color="auto" w:fill="FFFFFF" w:themeFill="background1"/>
        </w:rPr>
        <w:t xml:space="preserve"> </w:t>
      </w:r>
      <w:r w:rsidR="006314DA" w:rsidRPr="0010576F">
        <w:rPr>
          <w:shd w:val="clear" w:color="auto" w:fill="FFFFFF" w:themeFill="background1"/>
        </w:rPr>
        <w:t>is</w:t>
      </w:r>
      <w:r w:rsidR="00F72D46" w:rsidRPr="0010576F">
        <w:rPr>
          <w:shd w:val="clear" w:color="auto" w:fill="FFFFFF" w:themeFill="background1"/>
        </w:rPr>
        <w:t xml:space="preserve"> also</w:t>
      </w:r>
      <w:r w:rsidR="00317B03" w:rsidRPr="0010576F">
        <w:rPr>
          <w:shd w:val="clear" w:color="auto" w:fill="FFFFFF" w:themeFill="background1"/>
        </w:rPr>
        <w:t xml:space="preserve"> </w:t>
      </w:r>
      <w:r w:rsidR="006314DA" w:rsidRPr="0010576F">
        <w:rPr>
          <w:shd w:val="clear" w:color="auto" w:fill="FFFFFF" w:themeFill="background1"/>
        </w:rPr>
        <w:t>ongoing for the</w:t>
      </w:r>
      <w:r w:rsidR="00317B03" w:rsidRPr="0010576F">
        <w:rPr>
          <w:shd w:val="clear" w:color="auto" w:fill="FFFFFF" w:themeFill="background1"/>
        </w:rPr>
        <w:t xml:space="preserve"> transformation of the Household Financial Surveys and the </w:t>
      </w:r>
      <w:r w:rsidR="00E86E9A" w:rsidRPr="0010576F">
        <w:rPr>
          <w:shd w:val="clear" w:color="auto" w:fill="FFFFFF" w:themeFill="background1"/>
        </w:rPr>
        <w:t xml:space="preserve">non-labour </w:t>
      </w:r>
      <w:r w:rsidR="00317B03" w:rsidRPr="0010576F">
        <w:rPr>
          <w:shd w:val="clear" w:color="auto" w:fill="FFFFFF" w:themeFill="background1"/>
        </w:rPr>
        <w:t>market elements of the LFS.</w:t>
      </w:r>
      <w:r w:rsidR="00317B03" w:rsidRPr="006664D1">
        <w:t xml:space="preserve"> </w:t>
      </w:r>
    </w:p>
    <w:p w14:paraId="5C807AF6" w14:textId="77777777" w:rsidR="00E352B3" w:rsidRDefault="00E352B3">
      <w:pPr>
        <w:rPr>
          <w:rFonts w:eastAsiaTheme="majorEastAsia" w:cstheme="majorBidi"/>
          <w:color w:val="2F5496" w:themeColor="accent1" w:themeShade="BF"/>
          <w:sz w:val="26"/>
          <w:szCs w:val="26"/>
        </w:rPr>
      </w:pPr>
      <w:r>
        <w:rPr>
          <w:rFonts w:eastAsiaTheme="majorEastAsia" w:cstheme="majorBidi"/>
          <w:color w:val="2F5496" w:themeColor="accent1" w:themeShade="BF"/>
          <w:sz w:val="26"/>
          <w:szCs w:val="26"/>
        </w:rPr>
        <w:br w:type="page"/>
      </w:r>
    </w:p>
    <w:p w14:paraId="5BD57A58" w14:textId="33CB6651" w:rsidR="0081029A" w:rsidRPr="006664D1" w:rsidRDefault="00961AD5" w:rsidP="00AF0142">
      <w:pPr>
        <w:pStyle w:val="NormalWeb"/>
        <w:jc w:val="both"/>
        <w:rPr>
          <w:rFonts w:asciiTheme="minorHAnsi" w:eastAsiaTheme="majorEastAsia" w:hAnsiTheme="minorHAnsi" w:cstheme="majorBidi"/>
          <w:color w:val="2F5496" w:themeColor="accent1" w:themeShade="BF"/>
          <w:sz w:val="26"/>
          <w:szCs w:val="26"/>
          <w:lang w:eastAsia="en-US"/>
        </w:rPr>
      </w:pPr>
      <w:r>
        <w:rPr>
          <w:rFonts w:asciiTheme="minorHAnsi" w:eastAsiaTheme="majorEastAsia" w:hAnsiTheme="minorHAnsi" w:cstheme="majorBidi"/>
          <w:color w:val="2F5496" w:themeColor="accent1" w:themeShade="BF"/>
          <w:sz w:val="26"/>
          <w:szCs w:val="26"/>
          <w:lang w:eastAsia="en-US"/>
        </w:rPr>
        <w:lastRenderedPageBreak/>
        <w:t>2.3</w:t>
      </w:r>
      <w:r>
        <w:rPr>
          <w:rFonts w:asciiTheme="minorHAnsi" w:eastAsiaTheme="majorEastAsia" w:hAnsiTheme="minorHAnsi" w:cstheme="majorBidi"/>
          <w:color w:val="2F5496" w:themeColor="accent1" w:themeShade="BF"/>
          <w:sz w:val="26"/>
          <w:szCs w:val="26"/>
          <w:lang w:eastAsia="en-US"/>
        </w:rPr>
        <w:tab/>
      </w:r>
      <w:r w:rsidR="00F77E7A">
        <w:rPr>
          <w:rFonts w:asciiTheme="minorHAnsi" w:eastAsiaTheme="majorEastAsia" w:hAnsiTheme="minorHAnsi" w:cstheme="majorBidi"/>
          <w:color w:val="2F5496" w:themeColor="accent1" w:themeShade="BF"/>
          <w:sz w:val="26"/>
          <w:szCs w:val="26"/>
          <w:lang w:eastAsia="en-US"/>
        </w:rPr>
        <w:t>Integrated Population and Characteristics Survey</w:t>
      </w:r>
      <w:r w:rsidR="00112EBF" w:rsidRPr="006664D1">
        <w:rPr>
          <w:rFonts w:asciiTheme="minorHAnsi" w:eastAsiaTheme="majorEastAsia" w:hAnsiTheme="minorHAnsi" w:cstheme="majorBidi"/>
          <w:color w:val="2F5496" w:themeColor="accent1" w:themeShade="BF"/>
          <w:sz w:val="26"/>
          <w:szCs w:val="26"/>
          <w:lang w:eastAsia="en-US"/>
        </w:rPr>
        <w:t xml:space="preserve"> (</w:t>
      </w:r>
      <w:r w:rsidR="00F77E7A">
        <w:rPr>
          <w:rFonts w:asciiTheme="minorHAnsi" w:eastAsiaTheme="majorEastAsia" w:hAnsiTheme="minorHAnsi" w:cstheme="majorBidi"/>
          <w:color w:val="2F5496" w:themeColor="accent1" w:themeShade="BF"/>
          <w:sz w:val="26"/>
          <w:szCs w:val="26"/>
          <w:lang w:eastAsia="en-US"/>
        </w:rPr>
        <w:t>IPACS</w:t>
      </w:r>
      <w:r w:rsidR="00112EBF" w:rsidRPr="006664D1">
        <w:rPr>
          <w:rFonts w:asciiTheme="minorHAnsi" w:eastAsiaTheme="majorEastAsia" w:hAnsiTheme="minorHAnsi" w:cstheme="majorBidi"/>
          <w:color w:val="2F5496" w:themeColor="accent1" w:themeShade="BF"/>
          <w:sz w:val="26"/>
          <w:szCs w:val="26"/>
          <w:lang w:eastAsia="en-US"/>
        </w:rPr>
        <w:t>)</w:t>
      </w:r>
    </w:p>
    <w:p w14:paraId="4A2D816C" w14:textId="14180244" w:rsidR="00112EBF" w:rsidRPr="00E352B3" w:rsidRDefault="006314DA" w:rsidP="008B54F2">
      <w:pPr>
        <w:jc w:val="both"/>
      </w:pPr>
      <w:r w:rsidRPr="00E352B3">
        <w:t>PM</w:t>
      </w:r>
      <w:r w:rsidR="00112EBF" w:rsidRPr="00E352B3">
        <w:t xml:space="preserve">ST and </w:t>
      </w:r>
      <w:r w:rsidRPr="00E352B3">
        <w:t>S</w:t>
      </w:r>
      <w:r w:rsidR="00112EBF" w:rsidRPr="00E352B3">
        <w:t xml:space="preserve">ST are working together to </w:t>
      </w:r>
      <w:r w:rsidRPr="00E352B3">
        <w:t>meet future requirements</w:t>
      </w:r>
      <w:r w:rsidR="00112EBF" w:rsidRPr="00E352B3">
        <w:t xml:space="preserve"> </w:t>
      </w:r>
      <w:r w:rsidR="00911563" w:rsidRPr="00E352B3">
        <w:t xml:space="preserve">for the </w:t>
      </w:r>
      <w:r w:rsidR="00112EBF" w:rsidRPr="00E352B3">
        <w:t>production of Population, Migration and Social</w:t>
      </w:r>
      <w:r w:rsidR="00552A42" w:rsidRPr="00E352B3">
        <w:t xml:space="preserve"> statistical systems</w:t>
      </w:r>
      <w:r w:rsidR="00911563" w:rsidRPr="00E352B3">
        <w:t xml:space="preserve">, via the development of an </w:t>
      </w:r>
      <w:r w:rsidR="00F77E7A">
        <w:t>IPACS</w:t>
      </w:r>
      <w:r w:rsidR="00911563" w:rsidRPr="00E352B3">
        <w:t>.</w:t>
      </w:r>
    </w:p>
    <w:p w14:paraId="32FA6B37" w14:textId="55510ABD" w:rsidR="00906AE0" w:rsidRPr="00E352B3" w:rsidRDefault="00906AE0" w:rsidP="008B54F2">
      <w:pPr>
        <w:jc w:val="both"/>
      </w:pPr>
      <w:r w:rsidRPr="00E352B3">
        <w:t>A key feature of the</w:t>
      </w:r>
      <w:r w:rsidR="006314DA" w:rsidRPr="00E352B3">
        <w:t xml:space="preserve"> </w:t>
      </w:r>
      <w:r w:rsidR="00F77E7A">
        <w:t>IPACS</w:t>
      </w:r>
      <w:r w:rsidR="006314DA" w:rsidRPr="00E352B3">
        <w:t xml:space="preserve"> </w:t>
      </w:r>
      <w:r w:rsidRPr="00E352B3">
        <w:t xml:space="preserve">is </w:t>
      </w:r>
      <w:r w:rsidR="006314DA" w:rsidRPr="00E352B3">
        <w:t>a wave 1 questionnaire with a large sample</w:t>
      </w:r>
      <w:r w:rsidR="006D4B81" w:rsidRPr="00E352B3">
        <w:t xml:space="preserve"> of</w:t>
      </w:r>
      <w:r w:rsidR="006314DA" w:rsidRPr="00E352B3">
        <w:t xml:space="preserve"> 500,000 households</w:t>
      </w:r>
      <w:r w:rsidRPr="00E352B3">
        <w:t>,</w:t>
      </w:r>
      <w:r w:rsidR="004B7165" w:rsidRPr="00E352B3">
        <w:t xml:space="preserve"> </w:t>
      </w:r>
      <w:r w:rsidR="006D4B81" w:rsidRPr="00E352B3">
        <w:t xml:space="preserve">which </w:t>
      </w:r>
      <w:r w:rsidR="004B7165" w:rsidRPr="00E352B3">
        <w:t>driven by the required level of precision for the PCS.  This is</w:t>
      </w:r>
      <w:r w:rsidRPr="00E352B3">
        <w:t xml:space="preserve"> referred to as the </w:t>
      </w:r>
      <w:r w:rsidR="004B7165" w:rsidRPr="00E352B3">
        <w:t>‘</w:t>
      </w:r>
      <w:r w:rsidRPr="00E352B3">
        <w:t>Master Wave</w:t>
      </w:r>
      <w:r w:rsidR="004B7165" w:rsidRPr="00E352B3">
        <w:t>’</w:t>
      </w:r>
      <w:r w:rsidR="006D4B81" w:rsidRPr="00E352B3">
        <w:t xml:space="preserve">, and is designed to collect socio-demographic data, core labour market data, and </w:t>
      </w:r>
      <w:r w:rsidR="002C0EFE" w:rsidRPr="00E352B3">
        <w:t>to provide an assessment of the coverage of administrative data that will be used to derive population estimates.</w:t>
      </w:r>
    </w:p>
    <w:p w14:paraId="7EBA19BE" w14:textId="62A7C12F" w:rsidR="006314DA" w:rsidRPr="00E352B3" w:rsidRDefault="00BC3482" w:rsidP="008B54F2">
      <w:pPr>
        <w:jc w:val="both"/>
      </w:pPr>
      <w:r w:rsidRPr="00E352B3">
        <w:t xml:space="preserve">The ‘Master Wave’ would be collected via </w:t>
      </w:r>
      <w:r w:rsidR="006314DA" w:rsidRPr="00E352B3">
        <w:t xml:space="preserve">a </w:t>
      </w:r>
      <w:r w:rsidR="004B7165" w:rsidRPr="00E352B3">
        <w:t>concurrent</w:t>
      </w:r>
      <w:r w:rsidR="006314DA" w:rsidRPr="00E352B3">
        <w:t xml:space="preserve"> mixed mode questionnaire, with an online first approach</w:t>
      </w:r>
      <w:r w:rsidRPr="00E352B3">
        <w:t>.  Non-responding households would be invited to take part in a face-to-face interview</w:t>
      </w:r>
      <w:r w:rsidR="006314DA" w:rsidRPr="00E352B3">
        <w:t xml:space="preserve">. The responding households to the wave 1 </w:t>
      </w:r>
      <w:r w:rsidR="004B7165" w:rsidRPr="00E352B3">
        <w:t>‘M</w:t>
      </w:r>
      <w:r w:rsidR="006314DA" w:rsidRPr="00E352B3">
        <w:t xml:space="preserve">aster </w:t>
      </w:r>
      <w:r w:rsidR="004B7165" w:rsidRPr="00E352B3">
        <w:t>W</w:t>
      </w:r>
      <w:r w:rsidR="006314DA" w:rsidRPr="00E352B3">
        <w:t>ave</w:t>
      </w:r>
      <w:r w:rsidR="004B7165" w:rsidRPr="00E352B3">
        <w:t>’</w:t>
      </w:r>
      <w:r w:rsidR="006314DA" w:rsidRPr="00E352B3">
        <w:t xml:space="preserve"> would then act as the sampling frame for subsequent waves or </w:t>
      </w:r>
      <w:r w:rsidRPr="00E352B3">
        <w:t xml:space="preserve">other social surveys which </w:t>
      </w:r>
      <w:r w:rsidR="006314DA" w:rsidRPr="00E352B3">
        <w:t xml:space="preserve">containing topics to meet residual </w:t>
      </w:r>
      <w:r w:rsidRPr="00E352B3">
        <w:t xml:space="preserve">social survey output </w:t>
      </w:r>
      <w:r w:rsidR="006314DA" w:rsidRPr="00E352B3">
        <w:t>requirements.</w:t>
      </w:r>
      <w:r w:rsidRPr="00E352B3">
        <w:t xml:space="preserve">  </w:t>
      </w:r>
    </w:p>
    <w:p w14:paraId="68D3D650" w14:textId="5C215BDC" w:rsidR="00E352B3" w:rsidRPr="00E352B3" w:rsidRDefault="00E352B3" w:rsidP="008B54F2">
      <w:pPr>
        <w:jc w:val="both"/>
      </w:pPr>
      <w:r w:rsidRPr="00E352B3">
        <w:rPr>
          <w:i/>
        </w:rPr>
        <w:t>Figure 1</w:t>
      </w:r>
      <w:r w:rsidRPr="00E352B3">
        <w:t xml:space="preserve"> illustrates the key components of the </w:t>
      </w:r>
      <w:r w:rsidR="00F77E7A">
        <w:t>IPACS</w:t>
      </w:r>
      <w:r w:rsidRPr="00E352B3">
        <w:t>. It would be designed with an administrative data first approach in mind, with the idea being to utilise administrative data sources wherever possible to satisfy population, migration and social data requirements. Surveys would be used to capture any residual requirements, including population undercoverage requirements.</w:t>
      </w:r>
    </w:p>
    <w:p w14:paraId="7BD12160" w14:textId="600A1589" w:rsidR="008D7576" w:rsidRPr="00E352B3" w:rsidRDefault="00A32257" w:rsidP="008B54F2">
      <w:pPr>
        <w:jc w:val="both"/>
      </w:pPr>
      <w:r w:rsidRPr="00E352B3">
        <w:t xml:space="preserve">Our current thinking for the collection of </w:t>
      </w:r>
      <w:r w:rsidR="006314DA" w:rsidRPr="00E352B3">
        <w:t xml:space="preserve">residual survey requirements is </w:t>
      </w:r>
      <w:r w:rsidR="0034338F" w:rsidRPr="00E352B3">
        <w:t xml:space="preserve">described well </w:t>
      </w:r>
      <w:r w:rsidR="006314DA" w:rsidRPr="00E352B3">
        <w:t xml:space="preserve">by </w:t>
      </w:r>
      <w:r w:rsidR="0034338F" w:rsidRPr="00E352B3">
        <w:t xml:space="preserve">the work of </w:t>
      </w:r>
      <w:r w:rsidR="00B12FD7" w:rsidRPr="00A0782A">
        <w:t>Karlberg,</w:t>
      </w:r>
      <w:r w:rsidR="00F1556A">
        <w:t xml:space="preserve"> </w:t>
      </w:r>
      <w:r w:rsidR="00B12FD7" w:rsidRPr="00A0782A">
        <w:t xml:space="preserve">Reis, Calizzani, </w:t>
      </w:r>
      <w:r w:rsidR="00F1556A">
        <w:t xml:space="preserve">and </w:t>
      </w:r>
      <w:r w:rsidR="00B12FD7" w:rsidRPr="00A0782A">
        <w:t>Gras</w:t>
      </w:r>
      <w:r w:rsidR="00F1556A">
        <w:t xml:space="preserve"> </w:t>
      </w:r>
      <w:r w:rsidR="006314DA" w:rsidRPr="00E352B3">
        <w:t>(2015)</w:t>
      </w:r>
      <w:r w:rsidR="0034338F" w:rsidRPr="00E352B3">
        <w:t xml:space="preserve">. </w:t>
      </w:r>
      <w:r w:rsidR="006314DA" w:rsidRPr="00E352B3">
        <w:t xml:space="preserve"> </w:t>
      </w:r>
      <w:r w:rsidR="0034338F" w:rsidRPr="00E352B3">
        <w:t>They</w:t>
      </w:r>
      <w:r w:rsidR="006314DA" w:rsidRPr="00E352B3">
        <w:t xml:space="preserve"> propose the creation of a series of ‘modules’, 10 to 15 questions that ‘logically belong together’ (i.e. address various aspects of a certain topic). </w:t>
      </w:r>
      <w:r w:rsidR="0034338F" w:rsidRPr="00E352B3">
        <w:t>M</w:t>
      </w:r>
      <w:r w:rsidR="006314DA" w:rsidRPr="00E352B3">
        <w:t xml:space="preserve">odules </w:t>
      </w:r>
      <w:r w:rsidR="0034338F" w:rsidRPr="00E352B3">
        <w:t>would</w:t>
      </w:r>
      <w:r w:rsidR="006314DA" w:rsidRPr="00E352B3">
        <w:t xml:space="preserve"> then </w:t>
      </w:r>
      <w:r w:rsidR="0034338F" w:rsidRPr="00E352B3">
        <w:t xml:space="preserve">be </w:t>
      </w:r>
      <w:r w:rsidR="006314DA" w:rsidRPr="00E352B3">
        <w:t xml:space="preserve">grouped into ‘instruments’, where an instrument in defined as a sequence of modules. Each instrument </w:t>
      </w:r>
      <w:r w:rsidR="0034338F" w:rsidRPr="00E352B3">
        <w:t xml:space="preserve">would </w:t>
      </w:r>
      <w:r w:rsidR="006314DA" w:rsidRPr="00E352B3">
        <w:t>allow the joint observation of several modules from the same statistical unit and thus the crossing of variables from different modules.</w:t>
      </w:r>
      <w:r w:rsidR="0034338F" w:rsidRPr="00E352B3">
        <w:t xml:space="preserve">  M</w:t>
      </w:r>
      <w:r w:rsidR="006314DA" w:rsidRPr="00E352B3">
        <w:t>odule</w:t>
      </w:r>
      <w:r w:rsidR="0034338F" w:rsidRPr="00E352B3">
        <w:t>s</w:t>
      </w:r>
      <w:r w:rsidR="006314DA" w:rsidRPr="00E352B3">
        <w:t xml:space="preserve"> </w:t>
      </w:r>
      <w:r w:rsidR="0034338F" w:rsidRPr="00E352B3">
        <w:t>could</w:t>
      </w:r>
      <w:r w:rsidR="006314DA" w:rsidRPr="00E352B3">
        <w:t xml:space="preserve"> be present in one or more instruments</w:t>
      </w:r>
      <w:r w:rsidR="0061219E" w:rsidRPr="00E352B3">
        <w:t xml:space="preserve">, thereby providing </w:t>
      </w:r>
      <w:r w:rsidR="00FC053E">
        <w:t xml:space="preserve">cross-survey </w:t>
      </w:r>
      <w:r w:rsidR="0061219E" w:rsidRPr="00E352B3">
        <w:t>consistency.  This approach is also being considered by Statistics New Zealand</w:t>
      </w:r>
      <w:r w:rsidR="0054796C" w:rsidRPr="00E352B3">
        <w:t xml:space="preserve"> for their own</w:t>
      </w:r>
      <w:r w:rsidR="00874F3E" w:rsidRPr="00E352B3">
        <w:t xml:space="preserve"> integrated household survey model.</w:t>
      </w:r>
      <w:r w:rsidR="00832106" w:rsidRPr="00E352B3">
        <w:t xml:space="preserve">  </w:t>
      </w:r>
    </w:p>
    <w:p w14:paraId="15F81C2E" w14:textId="798321C0" w:rsidR="00FC2E17" w:rsidRPr="00E352B3" w:rsidRDefault="007E6346" w:rsidP="008B54F2">
      <w:pPr>
        <w:autoSpaceDE w:val="0"/>
        <w:autoSpaceDN w:val="0"/>
        <w:spacing w:after="0" w:line="240" w:lineRule="auto"/>
        <w:jc w:val="both"/>
      </w:pPr>
      <w:r w:rsidRPr="00E352B3">
        <w:rPr>
          <w:i/>
        </w:rPr>
        <w:t>Figure 2</w:t>
      </w:r>
      <w:r w:rsidRPr="00E352B3">
        <w:t xml:space="preserve"> </w:t>
      </w:r>
      <w:r w:rsidR="003314F9" w:rsidRPr="00E352B3">
        <w:t xml:space="preserve">provides an </w:t>
      </w:r>
      <w:r w:rsidRPr="00E352B3">
        <w:t>illustrat</w:t>
      </w:r>
      <w:r w:rsidR="003314F9" w:rsidRPr="00E352B3">
        <w:t>ion of</w:t>
      </w:r>
      <w:r w:rsidRPr="00E352B3">
        <w:t xml:space="preserve"> </w:t>
      </w:r>
      <w:r w:rsidR="003314F9" w:rsidRPr="00E352B3">
        <w:t>how residual survey requirements might be met beyond the ‘Master Wave’</w:t>
      </w:r>
      <w:r w:rsidR="00401643" w:rsidRPr="00E352B3">
        <w:t xml:space="preserve"> using the instrument and module design, and provides an example of how cross-instrument analysis could be performed.</w:t>
      </w:r>
      <w:r w:rsidR="00E352B3" w:rsidRPr="00E352B3">
        <w:t xml:space="preserve">  These subsequent waves / surveys would again be online first, but would use telephone collection in addition to face-to-face interviewing.</w:t>
      </w:r>
    </w:p>
    <w:p w14:paraId="2C4FFF30" w14:textId="77777777" w:rsidR="00FC2E17" w:rsidRPr="00E352B3" w:rsidRDefault="00FC2E17" w:rsidP="008B54F2">
      <w:pPr>
        <w:autoSpaceDE w:val="0"/>
        <w:autoSpaceDN w:val="0"/>
        <w:spacing w:after="0" w:line="240" w:lineRule="auto"/>
        <w:jc w:val="both"/>
      </w:pPr>
    </w:p>
    <w:p w14:paraId="1ED7DA65" w14:textId="36B2BC49" w:rsidR="00112EBF" w:rsidRPr="00E352B3" w:rsidRDefault="00112EBF" w:rsidP="008B54F2">
      <w:pPr>
        <w:autoSpaceDE w:val="0"/>
        <w:autoSpaceDN w:val="0"/>
        <w:spacing w:after="0" w:line="240" w:lineRule="auto"/>
        <w:jc w:val="both"/>
      </w:pPr>
      <w:r w:rsidRPr="00E352B3">
        <w:t xml:space="preserve">The proposed </w:t>
      </w:r>
      <w:r w:rsidR="0043771E" w:rsidRPr="00E352B3">
        <w:t xml:space="preserve">design </w:t>
      </w:r>
      <w:r w:rsidRPr="00E352B3">
        <w:t>would utilise AddressBase+ as the sampling frame</w:t>
      </w:r>
      <w:r w:rsidR="00FC2E17" w:rsidRPr="00E352B3">
        <w:t>; the current sampling frame for Social Surveys, the Postal Address File (PAF) has an eligibility rate circa 9</w:t>
      </w:r>
      <w:r w:rsidR="00906AE0" w:rsidRPr="00E352B3">
        <w:t>1</w:t>
      </w:r>
      <w:r w:rsidR="00FC2E17" w:rsidRPr="00E352B3">
        <w:t>%, compared to a 95% eligibility rate for the AddressBase product.  Administrative data would be used to supplement the AddressBase sample frame</w:t>
      </w:r>
      <w:r w:rsidR="001F3572" w:rsidRPr="00E352B3">
        <w:t xml:space="preserve"> to identify more ineligible addresses which will increase the efficiency of data collection operations.</w:t>
      </w:r>
    </w:p>
    <w:p w14:paraId="6424F8B9" w14:textId="7B2CDD83" w:rsidR="00F9063F" w:rsidRDefault="00F9063F" w:rsidP="008B54F2">
      <w:pPr>
        <w:autoSpaceDE w:val="0"/>
        <w:autoSpaceDN w:val="0"/>
        <w:spacing w:after="0" w:line="240" w:lineRule="auto"/>
        <w:jc w:val="both"/>
      </w:pPr>
    </w:p>
    <w:p w14:paraId="0293E89F" w14:textId="77777777" w:rsidR="006973D3" w:rsidRPr="006664D1" w:rsidRDefault="006973D3" w:rsidP="008B54F2">
      <w:pPr>
        <w:autoSpaceDE w:val="0"/>
        <w:autoSpaceDN w:val="0"/>
        <w:spacing w:after="0" w:line="240" w:lineRule="auto"/>
        <w:jc w:val="both"/>
        <w:rPr>
          <w:rFonts w:cs="Times New Roman"/>
          <w:color w:val="000000"/>
        </w:rPr>
      </w:pPr>
    </w:p>
    <w:p w14:paraId="5E30FE1C" w14:textId="77777777" w:rsidR="008B54F2" w:rsidRDefault="008B54F2" w:rsidP="00AF0142">
      <w:pPr>
        <w:jc w:val="both"/>
        <w:rPr>
          <w:rFonts w:cs="Times New Roman"/>
          <w:i/>
          <w:color w:val="000000"/>
        </w:rPr>
      </w:pPr>
      <w:r>
        <w:rPr>
          <w:rFonts w:cs="Times New Roman"/>
          <w:i/>
          <w:color w:val="000000"/>
        </w:rPr>
        <w:br w:type="page"/>
      </w:r>
    </w:p>
    <w:p w14:paraId="7F4FDB99" w14:textId="180AB345" w:rsidR="006973D3" w:rsidRPr="006664D1" w:rsidRDefault="006973D3" w:rsidP="00AF0142">
      <w:pPr>
        <w:jc w:val="both"/>
        <w:rPr>
          <w:rFonts w:cs="Times New Roman"/>
          <w:i/>
          <w:color w:val="000000"/>
        </w:rPr>
      </w:pPr>
      <w:r w:rsidRPr="006664D1">
        <w:rPr>
          <w:rFonts w:cs="Times New Roman"/>
          <w:i/>
          <w:color w:val="000000"/>
        </w:rPr>
        <w:lastRenderedPageBreak/>
        <w:t xml:space="preserve">Figure 1: </w:t>
      </w:r>
      <w:r w:rsidR="0043771E">
        <w:rPr>
          <w:rFonts w:cs="Times New Roman"/>
          <w:i/>
          <w:color w:val="000000"/>
        </w:rPr>
        <w:t xml:space="preserve">Proposed Design </w:t>
      </w:r>
      <w:r w:rsidR="00FB2CA5">
        <w:rPr>
          <w:rFonts w:cs="Times New Roman"/>
          <w:i/>
          <w:color w:val="000000"/>
        </w:rPr>
        <w:t>of the</w:t>
      </w:r>
      <w:r w:rsidRPr="006664D1">
        <w:rPr>
          <w:rFonts w:cs="Times New Roman"/>
          <w:i/>
          <w:color w:val="000000"/>
        </w:rPr>
        <w:t xml:space="preserve"> </w:t>
      </w:r>
      <w:r w:rsidR="00F77E7A">
        <w:rPr>
          <w:rFonts w:cs="Times New Roman"/>
          <w:i/>
          <w:color w:val="000000"/>
        </w:rPr>
        <w:t>Integrated Population and Characteristics Survey</w:t>
      </w:r>
      <w:r w:rsidRPr="006664D1">
        <w:rPr>
          <w:rFonts w:cs="Times New Roman"/>
          <w:i/>
          <w:color w:val="000000"/>
        </w:rPr>
        <w:t xml:space="preserve"> (</w:t>
      </w:r>
      <w:r w:rsidR="00F77E7A">
        <w:rPr>
          <w:rFonts w:cs="Times New Roman"/>
          <w:i/>
          <w:color w:val="000000"/>
        </w:rPr>
        <w:t>IPACS</w:t>
      </w:r>
      <w:r w:rsidRPr="006664D1">
        <w:rPr>
          <w:rFonts w:cs="Times New Roman"/>
          <w:i/>
          <w:color w:val="000000"/>
        </w:rPr>
        <w:t xml:space="preserve">) </w:t>
      </w:r>
    </w:p>
    <w:p w14:paraId="4F85899C" w14:textId="661A9C1A" w:rsidR="00112EBF" w:rsidRPr="006664D1" w:rsidRDefault="0091401A" w:rsidP="008B54F2">
      <w:pPr>
        <w:jc w:val="both"/>
      </w:pPr>
      <w:r w:rsidRPr="0091401A">
        <w:t xml:space="preserve"> </w:t>
      </w:r>
      <w:r w:rsidR="0043771E" w:rsidRPr="0043771E">
        <w:t xml:space="preserve"> </w:t>
      </w:r>
      <w:r w:rsidR="0043771E">
        <w:object w:dxaOrig="15465" w:dyaOrig="7756" w14:anchorId="1FD17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5pt;height:225.95pt" o:ole="">
            <v:imagedata r:id="rId15" o:title=""/>
          </v:shape>
          <o:OLEObject Type="Embed" ProgID="Visio.Drawing.15" ShapeID="_x0000_i1025" DrawAspect="Content" ObjectID="_1634471514" r:id="rId16"/>
        </w:object>
      </w:r>
    </w:p>
    <w:p w14:paraId="6F29E966" w14:textId="3ACF80C3" w:rsidR="003314F9" w:rsidRPr="008D7576" w:rsidRDefault="003314F9" w:rsidP="00AF0142">
      <w:pPr>
        <w:jc w:val="both"/>
        <w:rPr>
          <w:i/>
        </w:rPr>
      </w:pPr>
      <w:r w:rsidRPr="008D7576">
        <w:rPr>
          <w:i/>
        </w:rPr>
        <w:t xml:space="preserve">Figure 2. </w:t>
      </w:r>
      <w:r w:rsidR="00FB2CA5" w:rsidRPr="008D7576">
        <w:rPr>
          <w:i/>
        </w:rPr>
        <w:t xml:space="preserve">Illustrative example of </w:t>
      </w:r>
      <w:r w:rsidR="00106C44" w:rsidRPr="008D7576">
        <w:rPr>
          <w:i/>
        </w:rPr>
        <w:t>Wave 2 survey structure</w:t>
      </w:r>
    </w:p>
    <w:p w14:paraId="6093868D" w14:textId="23048542" w:rsidR="0043771E" w:rsidRDefault="00815178" w:rsidP="008B54F2">
      <w:pPr>
        <w:pStyle w:val="NormalWeb"/>
        <w:jc w:val="both"/>
        <w:rPr>
          <w:rFonts w:asciiTheme="minorHAnsi" w:eastAsiaTheme="majorEastAsia" w:hAnsiTheme="minorHAnsi" w:cstheme="majorBidi"/>
          <w:color w:val="2F5496" w:themeColor="accent1" w:themeShade="BF"/>
          <w:sz w:val="26"/>
          <w:szCs w:val="26"/>
          <w:lang w:eastAsia="en-US"/>
        </w:rPr>
      </w:pPr>
      <w:r>
        <w:object w:dxaOrig="15991" w:dyaOrig="8925" w14:anchorId="181F0615">
          <v:shape id="_x0000_i1026" type="#_x0000_t75" style="width:450.85pt;height:252pt" o:ole="">
            <v:imagedata r:id="rId17" o:title=""/>
          </v:shape>
          <o:OLEObject Type="Embed" ProgID="Visio.Drawing.15" ShapeID="_x0000_i1026" DrawAspect="Content" ObjectID="_1634471515" r:id="rId18"/>
        </w:object>
      </w:r>
      <w:r w:rsidRPr="006664D1">
        <w:rPr>
          <w:rFonts w:asciiTheme="minorHAnsi" w:eastAsiaTheme="majorEastAsia" w:hAnsiTheme="minorHAnsi" w:cstheme="majorBidi"/>
          <w:color w:val="2F5496" w:themeColor="accent1" w:themeShade="BF"/>
          <w:sz w:val="26"/>
          <w:szCs w:val="26"/>
          <w:lang w:eastAsia="en-US"/>
        </w:rPr>
        <w:t xml:space="preserve"> </w:t>
      </w:r>
    </w:p>
    <w:p w14:paraId="3BEF7F84" w14:textId="77777777" w:rsidR="0043771E" w:rsidRDefault="0043771E">
      <w:pPr>
        <w:rPr>
          <w:rFonts w:eastAsiaTheme="majorEastAsia" w:cstheme="majorBidi"/>
          <w:color w:val="2F5496" w:themeColor="accent1" w:themeShade="BF"/>
          <w:sz w:val="26"/>
          <w:szCs w:val="26"/>
        </w:rPr>
      </w:pPr>
      <w:r>
        <w:rPr>
          <w:rFonts w:eastAsiaTheme="majorEastAsia" w:cstheme="majorBidi"/>
          <w:color w:val="2F5496" w:themeColor="accent1" w:themeShade="BF"/>
          <w:sz w:val="26"/>
          <w:szCs w:val="26"/>
        </w:rPr>
        <w:br w:type="page"/>
      </w:r>
    </w:p>
    <w:p w14:paraId="6FFB64DB" w14:textId="4432ABAC" w:rsidR="009D1AA1" w:rsidRPr="006664D1" w:rsidRDefault="00105200" w:rsidP="00AF0142">
      <w:pPr>
        <w:pStyle w:val="NormalWeb"/>
        <w:jc w:val="both"/>
        <w:rPr>
          <w:rFonts w:asciiTheme="minorHAnsi" w:eastAsiaTheme="majorEastAsia" w:hAnsiTheme="minorHAnsi" w:cstheme="majorBidi"/>
          <w:color w:val="2F5496" w:themeColor="accent1" w:themeShade="BF"/>
          <w:sz w:val="26"/>
          <w:szCs w:val="26"/>
          <w:lang w:eastAsia="en-US"/>
        </w:rPr>
      </w:pPr>
      <w:r>
        <w:rPr>
          <w:rFonts w:asciiTheme="minorHAnsi" w:eastAsiaTheme="majorEastAsia" w:hAnsiTheme="minorHAnsi" w:cstheme="majorBidi"/>
          <w:color w:val="2F5496" w:themeColor="accent1" w:themeShade="BF"/>
          <w:sz w:val="26"/>
          <w:szCs w:val="26"/>
          <w:lang w:eastAsia="en-US"/>
        </w:rPr>
        <w:lastRenderedPageBreak/>
        <w:t>2.4</w:t>
      </w:r>
      <w:r>
        <w:rPr>
          <w:rFonts w:asciiTheme="minorHAnsi" w:eastAsiaTheme="majorEastAsia" w:hAnsiTheme="minorHAnsi" w:cstheme="majorBidi"/>
          <w:color w:val="2F5496" w:themeColor="accent1" w:themeShade="BF"/>
          <w:sz w:val="26"/>
          <w:szCs w:val="26"/>
          <w:lang w:eastAsia="en-US"/>
        </w:rPr>
        <w:tab/>
      </w:r>
      <w:r w:rsidR="009D1AA1" w:rsidRPr="006664D1">
        <w:rPr>
          <w:rFonts w:asciiTheme="minorHAnsi" w:eastAsiaTheme="majorEastAsia" w:hAnsiTheme="minorHAnsi" w:cstheme="majorBidi"/>
          <w:color w:val="2F5496" w:themeColor="accent1" w:themeShade="BF"/>
          <w:sz w:val="26"/>
          <w:szCs w:val="26"/>
          <w:lang w:eastAsia="en-US"/>
        </w:rPr>
        <w:t xml:space="preserve">Key </w:t>
      </w:r>
      <w:r w:rsidR="009D1AA1" w:rsidRPr="00AF0142">
        <w:rPr>
          <w:rFonts w:asciiTheme="minorHAnsi" w:eastAsiaTheme="majorEastAsia" w:hAnsiTheme="minorHAnsi" w:cstheme="majorBidi"/>
          <w:b/>
          <w:color w:val="2F5496" w:themeColor="accent1" w:themeShade="BF"/>
          <w:sz w:val="26"/>
          <w:szCs w:val="26"/>
          <w:lang w:eastAsia="en-US"/>
        </w:rPr>
        <w:t>benefits</w:t>
      </w:r>
      <w:r w:rsidR="009D1AA1" w:rsidRPr="006664D1">
        <w:rPr>
          <w:rFonts w:asciiTheme="minorHAnsi" w:eastAsiaTheme="majorEastAsia" w:hAnsiTheme="minorHAnsi" w:cstheme="majorBidi"/>
          <w:color w:val="2F5496" w:themeColor="accent1" w:themeShade="BF"/>
          <w:sz w:val="26"/>
          <w:szCs w:val="26"/>
          <w:lang w:eastAsia="en-US"/>
        </w:rPr>
        <w:t xml:space="preserve"> of integration</w:t>
      </w:r>
    </w:p>
    <w:p w14:paraId="66842085" w14:textId="207133C3" w:rsidR="00A61781" w:rsidRPr="006664D1" w:rsidRDefault="00FA2BEB" w:rsidP="00AF0142">
      <w:pPr>
        <w:pStyle w:val="NormalWeb"/>
        <w:jc w:val="both"/>
        <w:rPr>
          <w:rFonts w:asciiTheme="minorHAnsi" w:eastAsiaTheme="minorHAnsi" w:hAnsiTheme="minorHAnsi" w:cstheme="minorBidi"/>
          <w:sz w:val="22"/>
          <w:szCs w:val="22"/>
          <w:lang w:eastAsia="en-US"/>
        </w:rPr>
      </w:pPr>
      <w:r w:rsidRPr="006664D1">
        <w:rPr>
          <w:rFonts w:asciiTheme="minorHAnsi" w:eastAsiaTheme="minorHAnsi" w:hAnsiTheme="minorHAnsi" w:cstheme="minorBidi"/>
          <w:sz w:val="22"/>
          <w:szCs w:val="22"/>
          <w:lang w:eastAsia="en-US"/>
        </w:rPr>
        <w:t xml:space="preserve">There are key benefits to moving from </w:t>
      </w:r>
      <w:r w:rsidR="00DE5AD6">
        <w:rPr>
          <w:rFonts w:asciiTheme="minorHAnsi" w:eastAsiaTheme="minorHAnsi" w:hAnsiTheme="minorHAnsi" w:cstheme="minorBidi"/>
          <w:sz w:val="22"/>
          <w:szCs w:val="22"/>
          <w:lang w:eastAsia="en-US"/>
        </w:rPr>
        <w:t xml:space="preserve">a non-integrated to an </w:t>
      </w:r>
      <w:r w:rsidR="00F54B95">
        <w:rPr>
          <w:rFonts w:asciiTheme="minorHAnsi" w:eastAsiaTheme="minorHAnsi" w:hAnsiTheme="minorHAnsi" w:cstheme="minorBidi"/>
          <w:sz w:val="22"/>
          <w:szCs w:val="22"/>
          <w:lang w:eastAsia="en-US"/>
        </w:rPr>
        <w:t>IPACS</w:t>
      </w:r>
      <w:r w:rsidR="00DE5AD6">
        <w:rPr>
          <w:rFonts w:asciiTheme="minorHAnsi" w:eastAsiaTheme="minorHAnsi" w:hAnsiTheme="minorHAnsi" w:cstheme="minorBidi"/>
          <w:sz w:val="22"/>
          <w:szCs w:val="22"/>
          <w:lang w:eastAsia="en-US"/>
        </w:rPr>
        <w:t>:</w:t>
      </w:r>
    </w:p>
    <w:p w14:paraId="36F2A2D7" w14:textId="284037F7" w:rsidR="00017075" w:rsidRDefault="00375D9E" w:rsidP="00AF0142">
      <w:pPr>
        <w:pStyle w:val="ListParagraph"/>
        <w:numPr>
          <w:ilvl w:val="0"/>
          <w:numId w:val="8"/>
        </w:numPr>
        <w:autoSpaceDE w:val="0"/>
        <w:autoSpaceDN w:val="0"/>
        <w:spacing w:after="0" w:line="240" w:lineRule="auto"/>
        <w:jc w:val="both"/>
      </w:pPr>
      <w:r>
        <w:t xml:space="preserve">A more </w:t>
      </w:r>
      <w:r w:rsidRPr="008D7576">
        <w:rPr>
          <w:b/>
        </w:rPr>
        <w:t>cost efficient</w:t>
      </w:r>
      <w:r>
        <w:t xml:space="preserve"> system; </w:t>
      </w:r>
      <w:r w:rsidR="00017075">
        <w:t>An integrated system for the production of population, migration and social statistics will significantly reduce data collection operations when compared to the costs for the decennial Census, and the regular collection of Social Surveys.  Despite the large size of the ‘Master Wave’,</w:t>
      </w:r>
      <w:r w:rsidR="00C24C0E">
        <w:t xml:space="preserve"> the greater use of non-survey data, online first data collection, and survey rationalisation will result in t</w:t>
      </w:r>
      <w:r w:rsidR="002B7CAD">
        <w:t>he overall cost of the data collection operations be</w:t>
      </w:r>
      <w:r w:rsidR="00C24C0E">
        <w:t>ing</w:t>
      </w:r>
      <w:r w:rsidR="002B7CAD">
        <w:t xml:space="preserve"> significantly lower </w:t>
      </w:r>
    </w:p>
    <w:p w14:paraId="42AFCC48" w14:textId="2FE055CD" w:rsidR="00C24C0E" w:rsidRDefault="0087303A" w:rsidP="00AF0142">
      <w:pPr>
        <w:pStyle w:val="ListParagraph"/>
        <w:numPr>
          <w:ilvl w:val="0"/>
          <w:numId w:val="8"/>
        </w:numPr>
        <w:autoSpaceDE w:val="0"/>
        <w:autoSpaceDN w:val="0"/>
        <w:spacing w:after="0" w:line="240" w:lineRule="auto"/>
        <w:jc w:val="both"/>
      </w:pPr>
      <w:r w:rsidRPr="008D7576">
        <w:t xml:space="preserve">The </w:t>
      </w:r>
      <w:r w:rsidRPr="008D7576">
        <w:rPr>
          <w:b/>
        </w:rPr>
        <w:t>s</w:t>
      </w:r>
      <w:r w:rsidR="00C24C0E" w:rsidRPr="00D8196F">
        <w:rPr>
          <w:b/>
        </w:rPr>
        <w:t xml:space="preserve">implifying </w:t>
      </w:r>
      <w:r w:rsidR="00C24C0E">
        <w:rPr>
          <w:b/>
        </w:rPr>
        <w:t>and standardising</w:t>
      </w:r>
      <w:r w:rsidR="00C24C0E" w:rsidRPr="002C2E43">
        <w:t xml:space="preserve"> of data collection </w:t>
      </w:r>
      <w:r>
        <w:t>and processing systems</w:t>
      </w:r>
      <w:r w:rsidR="00D240E8">
        <w:t xml:space="preserve"> across the integrated system will </w:t>
      </w:r>
      <w:r w:rsidR="00C24C0E" w:rsidRPr="002C2E43">
        <w:t>also reduce costs</w:t>
      </w:r>
      <w:r w:rsidR="00C24C0E">
        <w:t xml:space="preserve"> and will provide </w:t>
      </w:r>
      <w:r w:rsidR="00D240E8">
        <w:t>more consistency in production and analysis.</w:t>
      </w:r>
    </w:p>
    <w:p w14:paraId="58528623" w14:textId="20F46053" w:rsidR="0018784A" w:rsidRDefault="0018784A" w:rsidP="00AF0142">
      <w:pPr>
        <w:pStyle w:val="ListParagraph"/>
        <w:numPr>
          <w:ilvl w:val="0"/>
          <w:numId w:val="8"/>
        </w:numPr>
        <w:autoSpaceDE w:val="0"/>
        <w:autoSpaceDN w:val="0"/>
        <w:spacing w:after="0" w:line="240" w:lineRule="auto"/>
        <w:jc w:val="both"/>
      </w:pPr>
      <w:r w:rsidRPr="002C2E43">
        <w:rPr>
          <w:rFonts w:cs="Segoe UI"/>
          <w:color w:val="000000"/>
        </w:rPr>
        <w:t>As a result of merging the PCS and LMS, the large sample size required for population statistics will have the</w:t>
      </w:r>
      <w:r>
        <w:rPr>
          <w:rFonts w:cs="Segoe UI"/>
          <w:color w:val="000000"/>
        </w:rPr>
        <w:t xml:space="preserve"> likely</w:t>
      </w:r>
      <w:r w:rsidRPr="002C2E43">
        <w:rPr>
          <w:rFonts w:cs="Segoe UI"/>
          <w:color w:val="000000"/>
        </w:rPr>
        <w:t xml:space="preserve"> benefit of providing core labour market outcomes at a </w:t>
      </w:r>
      <w:r w:rsidRPr="002C2E43">
        <w:rPr>
          <w:rFonts w:cs="Segoe UI"/>
          <w:b/>
          <w:color w:val="000000"/>
        </w:rPr>
        <w:t>more precise and lower geographic breakdown</w:t>
      </w:r>
      <w:r w:rsidRPr="002C2E43">
        <w:rPr>
          <w:rFonts w:cs="Segoe UI"/>
          <w:color w:val="000000"/>
        </w:rPr>
        <w:t xml:space="preserve"> than is currently available from the existing LFS.</w:t>
      </w:r>
      <w:r>
        <w:t xml:space="preserve">  </w:t>
      </w:r>
    </w:p>
    <w:p w14:paraId="3D0A1C89" w14:textId="2282055D" w:rsidR="00995CF7" w:rsidRPr="008D7576" w:rsidRDefault="00EE1B04" w:rsidP="00AF0142">
      <w:pPr>
        <w:pStyle w:val="ListParagraph"/>
        <w:numPr>
          <w:ilvl w:val="0"/>
          <w:numId w:val="8"/>
        </w:numPr>
        <w:autoSpaceDE w:val="0"/>
        <w:autoSpaceDN w:val="0"/>
        <w:spacing w:after="0" w:line="240" w:lineRule="auto"/>
        <w:jc w:val="both"/>
        <w:rPr>
          <w:rFonts w:ascii="Calibri" w:hAnsi="Calibri"/>
        </w:rPr>
      </w:pPr>
      <w:r w:rsidRPr="00AD6AFE">
        <w:t xml:space="preserve">A more </w:t>
      </w:r>
      <w:r w:rsidRPr="00EE1B04">
        <w:rPr>
          <w:b/>
        </w:rPr>
        <w:t>efficient</w:t>
      </w:r>
      <w:r w:rsidRPr="00AD6AFE">
        <w:t xml:space="preserve"> and </w:t>
      </w:r>
      <w:r w:rsidRPr="00EE1B04">
        <w:rPr>
          <w:b/>
        </w:rPr>
        <w:t>flexible</w:t>
      </w:r>
      <w:r w:rsidRPr="00AD6AFE">
        <w:t xml:space="preserve"> system: Karlberg et al. (2015)</w:t>
      </w:r>
      <w:r>
        <w:t xml:space="preserve"> </w:t>
      </w:r>
      <w:r w:rsidRPr="00AD6AFE">
        <w:t xml:space="preserve">describe how non-integrated survey systems, such as our current system, lead to rather large ‘overloaded’ questionnaires and </w:t>
      </w:r>
      <w:r w:rsidRPr="00995CF7">
        <w:t>oversampling of certain items that are piggy-backed onto a larger survey without sub-sampling. They describe the problem of ‘excessive sampling’ (i.e.</w:t>
      </w:r>
      <w:r w:rsidRPr="00E85189">
        <w:t xml:space="preserve"> the collection of data on a variable from a sample that is bigger than it needs to be to obtain results with the desired level of precision). </w:t>
      </w:r>
      <w:r w:rsidR="00425328">
        <w:t xml:space="preserve"> </w:t>
      </w:r>
      <w:r w:rsidRPr="00995CF7">
        <w:t xml:space="preserve">They state that by considering surveys simultaneously, better decisions can be taken on where to add new variables, or whether they can be added at all, on the basis of the overall priorities of the statistical system. </w:t>
      </w:r>
      <w:r w:rsidR="00425328">
        <w:t xml:space="preserve"> </w:t>
      </w:r>
      <w:r w:rsidRPr="00995CF7">
        <w:t xml:space="preserve">Although the </w:t>
      </w:r>
      <w:r w:rsidR="00F77E7A">
        <w:t>IPACS</w:t>
      </w:r>
      <w:r w:rsidRPr="00995CF7">
        <w:t xml:space="preserve"> would involve sampling 500,000 households at Wave 1, </w:t>
      </w:r>
      <w:r w:rsidR="00425328">
        <w:t xml:space="preserve">by satisfying the principles described by Karlberg et al. (2015), </w:t>
      </w:r>
      <w:r w:rsidRPr="00995CF7">
        <w:t xml:space="preserve">coupled with an administrative data census, </w:t>
      </w:r>
      <w:r w:rsidR="00425328">
        <w:t xml:space="preserve">the </w:t>
      </w:r>
      <w:r w:rsidR="00FF44D7">
        <w:t>IPACS</w:t>
      </w:r>
      <w:r w:rsidR="00DB007E">
        <w:t xml:space="preserve"> will</w:t>
      </w:r>
      <w:r w:rsidR="00425328">
        <w:t xml:space="preserve"> </w:t>
      </w:r>
      <w:r w:rsidRPr="00EE1B04">
        <w:t xml:space="preserve">satisfy core population, migration and labour market requirements simultaneously.  </w:t>
      </w:r>
      <w:r w:rsidRPr="00731282">
        <w:t>Further, it is intended that the Wave 1 questionnaire is limited in length, containing only ‘key’ core questions.</w:t>
      </w:r>
      <w:r w:rsidR="00DB007E">
        <w:t xml:space="preserve">  </w:t>
      </w:r>
      <w:r w:rsidRPr="00731282">
        <w:t>Respondents would then be routed to subsequent wave 2 modules.</w:t>
      </w:r>
      <w:r w:rsidR="005271AE" w:rsidRPr="00731282">
        <w:t xml:space="preserve"> </w:t>
      </w:r>
      <w:r w:rsidRPr="00731282">
        <w:t>In this way respondents</w:t>
      </w:r>
      <w:r w:rsidRPr="00EE1B04">
        <w:t xml:space="preserve"> would not be subjected to lengthy questionnaires or asked unnecessary </w:t>
      </w:r>
      <w:r w:rsidRPr="008D7576">
        <w:rPr>
          <w:rFonts w:ascii="Calibri" w:hAnsi="Calibri"/>
        </w:rPr>
        <w:t>questions</w:t>
      </w:r>
      <w:r w:rsidR="005271AE" w:rsidRPr="008D7576">
        <w:rPr>
          <w:rFonts w:ascii="Calibri" w:hAnsi="Calibri"/>
        </w:rPr>
        <w:t>, though some sample redundancy would remain</w:t>
      </w:r>
      <w:r w:rsidRPr="008D7576">
        <w:rPr>
          <w:rFonts w:ascii="Calibri" w:hAnsi="Calibri"/>
        </w:rPr>
        <w:t xml:space="preserve">.  </w:t>
      </w:r>
    </w:p>
    <w:p w14:paraId="6EDEAB26" w14:textId="43D87924" w:rsidR="00A61781" w:rsidRPr="008D7576" w:rsidRDefault="00A61781" w:rsidP="00AF0142">
      <w:pPr>
        <w:pStyle w:val="NormalWeb"/>
        <w:numPr>
          <w:ilvl w:val="0"/>
          <w:numId w:val="8"/>
        </w:numPr>
        <w:jc w:val="both"/>
        <w:rPr>
          <w:rFonts w:ascii="Calibri" w:hAnsi="Calibri"/>
          <w:sz w:val="22"/>
          <w:szCs w:val="22"/>
        </w:rPr>
      </w:pPr>
      <w:r w:rsidRPr="008D7576">
        <w:rPr>
          <w:rFonts w:ascii="Calibri" w:hAnsi="Calibri"/>
        </w:rPr>
        <w:t xml:space="preserve">A </w:t>
      </w:r>
      <w:r w:rsidRPr="008D7576">
        <w:rPr>
          <w:rFonts w:ascii="Calibri" w:hAnsi="Calibri"/>
          <w:b/>
        </w:rPr>
        <w:t xml:space="preserve">reduction in respondent burden </w:t>
      </w:r>
      <w:r w:rsidRPr="008D7576">
        <w:rPr>
          <w:rFonts w:ascii="Calibri" w:hAnsi="Calibri"/>
        </w:rPr>
        <w:t>will result from rational</w:t>
      </w:r>
      <w:r w:rsidR="00F16091" w:rsidRPr="008D7576">
        <w:rPr>
          <w:rFonts w:ascii="Calibri" w:hAnsi="Calibri"/>
        </w:rPr>
        <w:t>ising individual household</w:t>
      </w:r>
      <w:r w:rsidRPr="008D7576">
        <w:rPr>
          <w:rFonts w:ascii="Calibri" w:hAnsi="Calibri"/>
        </w:rPr>
        <w:t xml:space="preserve"> and population surveys into </w:t>
      </w:r>
      <w:r w:rsidR="00FF44D7">
        <w:rPr>
          <w:rFonts w:ascii="Calibri" w:hAnsi="Calibri"/>
        </w:rPr>
        <w:t>the IPACS</w:t>
      </w:r>
      <w:r w:rsidR="00DB007E" w:rsidRPr="008D7576">
        <w:rPr>
          <w:rFonts w:ascii="Calibri" w:hAnsi="Calibri"/>
        </w:rPr>
        <w:t>.</w:t>
      </w:r>
      <w:r w:rsidR="008753B7" w:rsidRPr="008D7576">
        <w:rPr>
          <w:rStyle w:val="CommentReference"/>
          <w:rFonts w:ascii="Calibri" w:hAnsi="Calibri"/>
          <w:sz w:val="22"/>
          <w:szCs w:val="22"/>
        </w:rPr>
        <w:t xml:space="preserve">  Rationalisation of questionnaires and the greater use of non-survey data sources for question replacement will result in shorter, more focussed residual surveys which take significantly less time for households to complete.</w:t>
      </w:r>
    </w:p>
    <w:p w14:paraId="0A0A94FD" w14:textId="24C1E55E" w:rsidR="00F26A64" w:rsidRPr="008D7576" w:rsidRDefault="00914802" w:rsidP="00AF0142">
      <w:pPr>
        <w:pStyle w:val="NormalWeb"/>
        <w:numPr>
          <w:ilvl w:val="0"/>
          <w:numId w:val="8"/>
        </w:numPr>
        <w:jc w:val="both"/>
        <w:rPr>
          <w:rFonts w:ascii="Calibri" w:eastAsiaTheme="minorHAnsi" w:hAnsi="Calibri" w:cstheme="minorBidi"/>
          <w:sz w:val="22"/>
          <w:szCs w:val="22"/>
          <w:lang w:eastAsia="en-US"/>
        </w:rPr>
      </w:pPr>
      <w:r w:rsidRPr="008D7576">
        <w:rPr>
          <w:rFonts w:ascii="Calibri" w:eastAsiaTheme="minorHAnsi" w:hAnsi="Calibri" w:cstheme="minorBidi"/>
          <w:sz w:val="22"/>
          <w:szCs w:val="22"/>
          <w:lang w:eastAsia="en-US"/>
        </w:rPr>
        <w:t>An</w:t>
      </w:r>
      <w:r w:rsidR="00EC407B" w:rsidRPr="008D7576">
        <w:rPr>
          <w:rFonts w:ascii="Calibri" w:eastAsiaTheme="minorHAnsi" w:hAnsi="Calibri" w:cstheme="minorBidi"/>
          <w:sz w:val="22"/>
          <w:szCs w:val="22"/>
          <w:lang w:eastAsia="en-US"/>
        </w:rPr>
        <w:t xml:space="preserve"> </w:t>
      </w:r>
      <w:r w:rsidR="00F77E7A">
        <w:rPr>
          <w:rFonts w:ascii="Calibri" w:eastAsiaTheme="minorHAnsi" w:hAnsi="Calibri" w:cstheme="minorBidi"/>
          <w:sz w:val="22"/>
          <w:szCs w:val="22"/>
          <w:lang w:eastAsia="en-US"/>
        </w:rPr>
        <w:t>IPACS</w:t>
      </w:r>
      <w:r w:rsidR="00EC407B" w:rsidRPr="008D7576">
        <w:rPr>
          <w:rFonts w:ascii="Calibri" w:eastAsiaTheme="minorHAnsi" w:hAnsi="Calibri" w:cstheme="minorBidi"/>
          <w:sz w:val="22"/>
          <w:szCs w:val="22"/>
          <w:lang w:eastAsia="en-US"/>
        </w:rPr>
        <w:t xml:space="preserve"> has the potential to provide higher levels of </w:t>
      </w:r>
      <w:r w:rsidR="00EC407B" w:rsidRPr="008D7576">
        <w:rPr>
          <w:rFonts w:ascii="Calibri" w:eastAsiaTheme="minorHAnsi" w:hAnsi="Calibri" w:cstheme="minorBidi"/>
          <w:b/>
          <w:sz w:val="22"/>
          <w:szCs w:val="22"/>
          <w:lang w:eastAsia="en-US"/>
        </w:rPr>
        <w:t>flexibility</w:t>
      </w:r>
      <w:r w:rsidR="00EC407B" w:rsidRPr="008D7576">
        <w:rPr>
          <w:rFonts w:ascii="Calibri" w:eastAsiaTheme="minorHAnsi" w:hAnsi="Calibri" w:cstheme="minorBidi"/>
          <w:sz w:val="22"/>
          <w:szCs w:val="22"/>
          <w:lang w:eastAsia="en-US"/>
        </w:rPr>
        <w:t xml:space="preserve"> than the current system</w:t>
      </w:r>
      <w:r w:rsidR="009A7C7D" w:rsidRPr="008D7576">
        <w:rPr>
          <w:rFonts w:ascii="Calibri" w:eastAsiaTheme="minorHAnsi" w:hAnsi="Calibri" w:cstheme="minorBidi"/>
          <w:sz w:val="22"/>
          <w:szCs w:val="22"/>
          <w:lang w:eastAsia="en-US"/>
        </w:rPr>
        <w:t xml:space="preserve"> and a </w:t>
      </w:r>
      <w:r w:rsidR="009A7C7D" w:rsidRPr="008D7576">
        <w:rPr>
          <w:rFonts w:ascii="Calibri" w:eastAsiaTheme="minorHAnsi" w:hAnsi="Calibri" w:cstheme="minorBidi"/>
          <w:b/>
          <w:sz w:val="22"/>
          <w:szCs w:val="22"/>
          <w:lang w:eastAsia="en-US"/>
        </w:rPr>
        <w:t>more responsive</w:t>
      </w:r>
      <w:r w:rsidR="009A7C7D" w:rsidRPr="008D7576">
        <w:rPr>
          <w:rFonts w:ascii="Calibri" w:eastAsiaTheme="minorHAnsi" w:hAnsi="Calibri" w:cstheme="minorBidi"/>
          <w:sz w:val="22"/>
          <w:szCs w:val="22"/>
          <w:lang w:eastAsia="en-US"/>
        </w:rPr>
        <w:t xml:space="preserve"> tool to meet policy needs</w:t>
      </w:r>
      <w:r w:rsidR="00D17D12" w:rsidRPr="008D7576">
        <w:rPr>
          <w:rFonts w:ascii="Calibri" w:eastAsiaTheme="minorHAnsi" w:hAnsi="Calibri" w:cstheme="minorBidi"/>
          <w:sz w:val="22"/>
          <w:szCs w:val="22"/>
          <w:lang w:eastAsia="en-US"/>
        </w:rPr>
        <w:t xml:space="preserve"> – increasing value to users</w:t>
      </w:r>
      <w:r w:rsidR="00EC407B" w:rsidRPr="008D7576">
        <w:rPr>
          <w:rFonts w:ascii="Calibri" w:eastAsiaTheme="minorHAnsi" w:hAnsi="Calibri" w:cstheme="minorBidi"/>
          <w:sz w:val="22"/>
          <w:szCs w:val="22"/>
          <w:lang w:eastAsia="en-US"/>
        </w:rPr>
        <w:t>.</w:t>
      </w:r>
      <w:r w:rsidR="00257F75" w:rsidRPr="008D7576">
        <w:rPr>
          <w:rFonts w:ascii="Calibri" w:eastAsiaTheme="minorHAnsi" w:hAnsi="Calibri" w:cstheme="minorBidi"/>
          <w:sz w:val="22"/>
          <w:szCs w:val="22"/>
          <w:lang w:eastAsia="en-US"/>
        </w:rPr>
        <w:t xml:space="preserve"> </w:t>
      </w:r>
      <w:r w:rsidR="0094118B" w:rsidRPr="008D7576">
        <w:rPr>
          <w:rFonts w:ascii="Calibri" w:hAnsi="Calibri"/>
          <w:sz w:val="22"/>
          <w:szCs w:val="22"/>
        </w:rPr>
        <w:t>The only way to satisfy additional survey requirements in our current system is to add to existing surveys, which can</w:t>
      </w:r>
      <w:r w:rsidR="00B70CC6" w:rsidRPr="008D7576">
        <w:rPr>
          <w:rFonts w:ascii="Calibri" w:hAnsi="Calibri"/>
          <w:sz w:val="22"/>
          <w:szCs w:val="22"/>
        </w:rPr>
        <w:t xml:space="preserve"> </w:t>
      </w:r>
      <w:r w:rsidR="0094118B" w:rsidRPr="008D7576">
        <w:rPr>
          <w:rFonts w:ascii="Calibri" w:hAnsi="Calibri"/>
          <w:sz w:val="22"/>
          <w:szCs w:val="22"/>
        </w:rPr>
        <w:t>lead to large ‘overloaded’ questionnaires and sometimes oversampling of certain variables</w:t>
      </w:r>
      <w:r w:rsidR="00832BC2" w:rsidRPr="008D7576">
        <w:rPr>
          <w:rFonts w:ascii="Calibri" w:hAnsi="Calibri"/>
          <w:sz w:val="22"/>
          <w:szCs w:val="22"/>
        </w:rPr>
        <w:t xml:space="preserve"> </w:t>
      </w:r>
      <w:r w:rsidR="0094118B" w:rsidRPr="008D7576">
        <w:rPr>
          <w:rFonts w:ascii="Calibri" w:hAnsi="Calibri"/>
          <w:sz w:val="22"/>
          <w:szCs w:val="22"/>
        </w:rPr>
        <w:t>or to set up a new survey</w:t>
      </w:r>
      <w:r w:rsidR="00BB60C6" w:rsidRPr="008D7576">
        <w:rPr>
          <w:rFonts w:ascii="Calibri" w:hAnsi="Calibri"/>
          <w:sz w:val="22"/>
          <w:szCs w:val="22"/>
        </w:rPr>
        <w:t xml:space="preserve">, </w:t>
      </w:r>
      <w:r w:rsidR="0094118B" w:rsidRPr="008D7576">
        <w:rPr>
          <w:rFonts w:ascii="Calibri" w:hAnsi="Calibri"/>
          <w:sz w:val="22"/>
          <w:szCs w:val="22"/>
        </w:rPr>
        <w:t xml:space="preserve">a </w:t>
      </w:r>
      <w:r w:rsidR="00BB60C6" w:rsidRPr="008D7576">
        <w:rPr>
          <w:rFonts w:ascii="Calibri" w:hAnsi="Calibri"/>
          <w:sz w:val="22"/>
          <w:szCs w:val="22"/>
        </w:rPr>
        <w:t xml:space="preserve">resource intensive </w:t>
      </w:r>
      <w:r w:rsidR="0094118B" w:rsidRPr="008D7576">
        <w:rPr>
          <w:rFonts w:ascii="Calibri" w:hAnsi="Calibri"/>
          <w:sz w:val="22"/>
          <w:szCs w:val="22"/>
        </w:rPr>
        <w:t>exercise.</w:t>
      </w:r>
      <w:r w:rsidR="009A7C7D" w:rsidRPr="008D7576">
        <w:rPr>
          <w:rFonts w:ascii="Calibri" w:eastAsiaTheme="minorHAnsi" w:hAnsi="Calibri" w:cstheme="minorBidi"/>
          <w:sz w:val="22"/>
          <w:szCs w:val="22"/>
          <w:lang w:eastAsia="en-US"/>
        </w:rPr>
        <w:t xml:space="preserve"> </w:t>
      </w:r>
      <w:r w:rsidR="00BB60C6" w:rsidRPr="008D7576">
        <w:rPr>
          <w:rFonts w:ascii="Calibri" w:eastAsiaTheme="minorHAnsi" w:hAnsi="Calibri" w:cstheme="minorBidi"/>
          <w:sz w:val="22"/>
          <w:szCs w:val="22"/>
          <w:lang w:eastAsia="en-US"/>
        </w:rPr>
        <w:t>Considering all survey data collection requirements simultaneously should allow for better and more flexible decision making on the content of the surveys.</w:t>
      </w:r>
    </w:p>
    <w:p w14:paraId="778A9FF9" w14:textId="4C5F6E26" w:rsidR="00F26A64" w:rsidRPr="008D7576" w:rsidRDefault="00236041" w:rsidP="00AF0142">
      <w:pPr>
        <w:pStyle w:val="NormalWeb"/>
        <w:numPr>
          <w:ilvl w:val="0"/>
          <w:numId w:val="8"/>
        </w:numPr>
        <w:jc w:val="both"/>
        <w:rPr>
          <w:rFonts w:ascii="Calibri" w:eastAsiaTheme="minorHAnsi" w:hAnsi="Calibri" w:cstheme="minorBidi"/>
          <w:sz w:val="22"/>
          <w:szCs w:val="22"/>
          <w:lang w:eastAsia="en-US"/>
        </w:rPr>
      </w:pPr>
      <w:r w:rsidRPr="008D7576">
        <w:rPr>
          <w:rFonts w:ascii="Calibri" w:eastAsiaTheme="minorHAnsi" w:hAnsi="Calibri" w:cstheme="minorBidi"/>
          <w:b/>
          <w:sz w:val="22"/>
          <w:szCs w:val="22"/>
          <w:lang w:eastAsia="en-US"/>
        </w:rPr>
        <w:t>I</w:t>
      </w:r>
      <w:r w:rsidR="00F26A64" w:rsidRPr="008D7576">
        <w:rPr>
          <w:rFonts w:ascii="Calibri" w:eastAsiaTheme="minorHAnsi" w:hAnsi="Calibri" w:cstheme="minorBidi"/>
          <w:b/>
          <w:sz w:val="22"/>
          <w:szCs w:val="22"/>
          <w:lang w:eastAsia="en-US"/>
        </w:rPr>
        <w:t>mproved</w:t>
      </w:r>
      <w:r w:rsidR="00914802" w:rsidRPr="008D7576">
        <w:rPr>
          <w:rFonts w:ascii="Calibri" w:eastAsiaTheme="minorHAnsi" w:hAnsi="Calibri" w:cstheme="minorBidi"/>
          <w:b/>
          <w:sz w:val="22"/>
          <w:szCs w:val="22"/>
          <w:lang w:eastAsia="en-US"/>
        </w:rPr>
        <w:t xml:space="preserve"> opportunities for cross-analysis</w:t>
      </w:r>
      <w:r w:rsidR="00F26A64" w:rsidRPr="008D7576">
        <w:rPr>
          <w:rFonts w:ascii="Calibri" w:eastAsiaTheme="minorHAnsi" w:hAnsi="Calibri" w:cstheme="minorBidi"/>
          <w:sz w:val="22"/>
          <w:szCs w:val="22"/>
          <w:lang w:eastAsia="en-US"/>
        </w:rPr>
        <w:t xml:space="preserve"> - a</w:t>
      </w:r>
      <w:r w:rsidR="00276E61" w:rsidRPr="008D7576">
        <w:rPr>
          <w:rFonts w:ascii="Calibri" w:eastAsiaTheme="minorHAnsi" w:hAnsi="Calibri" w:cstheme="minorBidi"/>
          <w:sz w:val="22"/>
          <w:szCs w:val="22"/>
          <w:lang w:eastAsia="en-US"/>
        </w:rPr>
        <w:t xml:space="preserve"> limita</w:t>
      </w:r>
      <w:r w:rsidR="00C26FAE" w:rsidRPr="008D7576">
        <w:rPr>
          <w:rFonts w:ascii="Calibri" w:eastAsiaTheme="minorHAnsi" w:hAnsi="Calibri" w:cstheme="minorBidi"/>
          <w:sz w:val="22"/>
          <w:szCs w:val="22"/>
          <w:lang w:eastAsia="en-US"/>
        </w:rPr>
        <w:t>tion of our</w:t>
      </w:r>
      <w:r w:rsidR="00276E61" w:rsidRPr="008D7576">
        <w:rPr>
          <w:rFonts w:ascii="Calibri" w:eastAsiaTheme="minorHAnsi" w:hAnsi="Calibri" w:cstheme="minorBidi"/>
          <w:sz w:val="22"/>
          <w:szCs w:val="22"/>
          <w:lang w:eastAsia="en-US"/>
        </w:rPr>
        <w:t xml:space="preserve"> current </w:t>
      </w:r>
      <w:r w:rsidR="00C26FAE" w:rsidRPr="008D7576">
        <w:rPr>
          <w:rFonts w:ascii="Calibri" w:eastAsiaTheme="minorHAnsi" w:hAnsi="Calibri" w:cstheme="minorBidi"/>
          <w:sz w:val="22"/>
          <w:szCs w:val="22"/>
          <w:lang w:eastAsia="en-US"/>
        </w:rPr>
        <w:t xml:space="preserve">system of </w:t>
      </w:r>
      <w:r w:rsidR="00276E61" w:rsidRPr="008D7576">
        <w:rPr>
          <w:rFonts w:ascii="Calibri" w:eastAsiaTheme="minorHAnsi" w:hAnsi="Calibri" w:cstheme="minorBidi"/>
          <w:sz w:val="22"/>
          <w:szCs w:val="22"/>
          <w:lang w:eastAsia="en-US"/>
        </w:rPr>
        <w:t>non-integrated</w:t>
      </w:r>
      <w:r w:rsidR="009E28F0" w:rsidRPr="008D7576">
        <w:rPr>
          <w:rFonts w:ascii="Calibri" w:eastAsiaTheme="minorHAnsi" w:hAnsi="Calibri" w:cstheme="minorBidi"/>
          <w:sz w:val="22"/>
          <w:szCs w:val="22"/>
          <w:lang w:eastAsia="en-US"/>
        </w:rPr>
        <w:t xml:space="preserve"> surveys is</w:t>
      </w:r>
      <w:r w:rsidR="00C26FAE" w:rsidRPr="008D7576">
        <w:rPr>
          <w:rFonts w:ascii="Calibri" w:eastAsiaTheme="minorHAnsi" w:hAnsi="Calibri" w:cstheme="minorBidi"/>
          <w:sz w:val="22"/>
          <w:szCs w:val="22"/>
          <w:lang w:eastAsia="en-US"/>
        </w:rPr>
        <w:t xml:space="preserve"> that it is difficult to provide cross survey statistics. </w:t>
      </w:r>
      <w:r w:rsidR="00A51922" w:rsidRPr="008D7576">
        <w:rPr>
          <w:rFonts w:ascii="Calibri" w:eastAsiaTheme="minorHAnsi" w:hAnsi="Calibri" w:cstheme="minorBidi"/>
          <w:sz w:val="22"/>
          <w:szCs w:val="22"/>
          <w:lang w:eastAsia="en-US"/>
        </w:rPr>
        <w:t>This problem</w:t>
      </w:r>
      <w:r w:rsidR="00C26FAE" w:rsidRPr="008D7576">
        <w:rPr>
          <w:rFonts w:ascii="Calibri" w:eastAsiaTheme="minorHAnsi" w:hAnsi="Calibri" w:cstheme="minorBidi"/>
          <w:sz w:val="22"/>
          <w:szCs w:val="22"/>
          <w:lang w:eastAsia="en-US"/>
        </w:rPr>
        <w:t xml:space="preserve"> </w:t>
      </w:r>
      <w:r w:rsidR="00A51922" w:rsidRPr="008D7576">
        <w:rPr>
          <w:rFonts w:ascii="Calibri" w:eastAsiaTheme="minorHAnsi" w:hAnsi="Calibri" w:cstheme="minorBidi"/>
          <w:sz w:val="22"/>
          <w:szCs w:val="22"/>
          <w:lang w:eastAsia="en-US"/>
        </w:rPr>
        <w:t xml:space="preserve">is overcome </w:t>
      </w:r>
      <w:r w:rsidR="00C26FAE" w:rsidRPr="008D7576">
        <w:rPr>
          <w:rFonts w:ascii="Calibri" w:eastAsiaTheme="minorHAnsi" w:hAnsi="Calibri" w:cstheme="minorBidi"/>
          <w:sz w:val="22"/>
          <w:szCs w:val="22"/>
          <w:lang w:eastAsia="en-US"/>
        </w:rPr>
        <w:t xml:space="preserve">to a certain extent by excessive sampling (i.e. including </w:t>
      </w:r>
      <w:r w:rsidR="00A51922" w:rsidRPr="008D7576">
        <w:rPr>
          <w:rFonts w:ascii="Calibri" w:eastAsiaTheme="minorHAnsi" w:hAnsi="Calibri" w:cstheme="minorBidi"/>
          <w:sz w:val="22"/>
          <w:szCs w:val="22"/>
          <w:lang w:eastAsia="en-US"/>
        </w:rPr>
        <w:t>key analytical</w:t>
      </w:r>
      <w:r w:rsidR="00C26FAE" w:rsidRPr="008D7576">
        <w:rPr>
          <w:rFonts w:ascii="Calibri" w:eastAsiaTheme="minorHAnsi" w:hAnsi="Calibri" w:cstheme="minorBidi"/>
          <w:sz w:val="22"/>
          <w:szCs w:val="22"/>
          <w:lang w:eastAsia="en-US"/>
        </w:rPr>
        <w:t xml:space="preserve"> variables on all surveys). However, this does n</w:t>
      </w:r>
      <w:r w:rsidR="00914802" w:rsidRPr="008D7576">
        <w:rPr>
          <w:rFonts w:ascii="Calibri" w:eastAsiaTheme="minorHAnsi" w:hAnsi="Calibri" w:cstheme="minorBidi"/>
          <w:sz w:val="22"/>
          <w:szCs w:val="22"/>
          <w:lang w:eastAsia="en-US"/>
        </w:rPr>
        <w:t>ot allow for cross-</w:t>
      </w:r>
      <w:r w:rsidR="00C26FAE" w:rsidRPr="008D7576">
        <w:rPr>
          <w:rFonts w:ascii="Calibri" w:eastAsiaTheme="minorHAnsi" w:hAnsi="Calibri" w:cstheme="minorBidi"/>
          <w:sz w:val="22"/>
          <w:szCs w:val="22"/>
          <w:lang w:eastAsia="en-US"/>
        </w:rPr>
        <w:t xml:space="preserve">analysis in any depth. </w:t>
      </w:r>
      <w:r w:rsidR="00276E61" w:rsidRPr="008D7576">
        <w:rPr>
          <w:rFonts w:ascii="Calibri" w:eastAsiaTheme="minorHAnsi" w:hAnsi="Calibri" w:cstheme="minorBidi"/>
          <w:sz w:val="22"/>
          <w:szCs w:val="22"/>
          <w:lang w:eastAsia="en-US"/>
        </w:rPr>
        <w:t xml:space="preserve"> </w:t>
      </w:r>
      <w:r w:rsidR="00914802" w:rsidRPr="008D7576">
        <w:rPr>
          <w:rFonts w:ascii="Calibri" w:eastAsiaTheme="minorHAnsi" w:hAnsi="Calibri" w:cstheme="minorBidi"/>
          <w:sz w:val="22"/>
          <w:szCs w:val="22"/>
          <w:lang w:eastAsia="en-US"/>
        </w:rPr>
        <w:t xml:space="preserve">Designed in the correct way, an </w:t>
      </w:r>
      <w:r w:rsidR="00F77E7A">
        <w:rPr>
          <w:rFonts w:ascii="Calibri" w:eastAsiaTheme="minorHAnsi" w:hAnsi="Calibri" w:cstheme="minorBidi"/>
          <w:sz w:val="22"/>
          <w:szCs w:val="22"/>
          <w:lang w:eastAsia="en-US"/>
        </w:rPr>
        <w:t>IPACS</w:t>
      </w:r>
      <w:r w:rsidR="00914802" w:rsidRPr="008D7576">
        <w:rPr>
          <w:rFonts w:ascii="Calibri" w:eastAsiaTheme="minorHAnsi" w:hAnsi="Calibri" w:cstheme="minorBidi"/>
          <w:sz w:val="22"/>
          <w:szCs w:val="22"/>
          <w:lang w:eastAsia="en-US"/>
        </w:rPr>
        <w:t xml:space="preserve"> would allow for the production of statistics that cross statistical domains (Karlberg et al., 2015).</w:t>
      </w:r>
      <w:r w:rsidR="00021A5B" w:rsidRPr="008D7576">
        <w:rPr>
          <w:rFonts w:ascii="Calibri" w:eastAsiaTheme="minorHAnsi" w:hAnsi="Calibri" w:cstheme="minorBidi"/>
          <w:sz w:val="22"/>
          <w:szCs w:val="22"/>
          <w:lang w:eastAsia="en-US"/>
        </w:rPr>
        <w:t xml:space="preserve">  It is acknowledged that the benefits of this come with some significant challenges, namely the potential complexity of the analytical processes that would be required to produce such outputs.</w:t>
      </w:r>
    </w:p>
    <w:p w14:paraId="79EB17E2" w14:textId="7B1E4F6D" w:rsidR="003533DD" w:rsidRDefault="00105200" w:rsidP="00AF0142">
      <w:pPr>
        <w:pStyle w:val="NormalWeb"/>
        <w:jc w:val="both"/>
        <w:rPr>
          <w:rFonts w:asciiTheme="minorHAnsi" w:eastAsiaTheme="majorEastAsia" w:hAnsiTheme="minorHAnsi" w:cstheme="majorBidi"/>
          <w:color w:val="2F5496" w:themeColor="accent1" w:themeShade="BF"/>
          <w:sz w:val="26"/>
          <w:szCs w:val="26"/>
          <w:lang w:eastAsia="en-US"/>
        </w:rPr>
      </w:pPr>
      <w:r>
        <w:rPr>
          <w:rFonts w:asciiTheme="minorHAnsi" w:eastAsiaTheme="majorEastAsia" w:hAnsiTheme="minorHAnsi" w:cstheme="majorBidi"/>
          <w:color w:val="2F5496" w:themeColor="accent1" w:themeShade="BF"/>
          <w:sz w:val="26"/>
          <w:szCs w:val="26"/>
          <w:lang w:eastAsia="en-US"/>
        </w:rPr>
        <w:lastRenderedPageBreak/>
        <w:t>2.5</w:t>
      </w:r>
      <w:r>
        <w:rPr>
          <w:rFonts w:asciiTheme="minorHAnsi" w:eastAsiaTheme="majorEastAsia" w:hAnsiTheme="minorHAnsi" w:cstheme="majorBidi"/>
          <w:color w:val="2F5496" w:themeColor="accent1" w:themeShade="BF"/>
          <w:sz w:val="26"/>
          <w:szCs w:val="26"/>
          <w:lang w:eastAsia="en-US"/>
        </w:rPr>
        <w:tab/>
      </w:r>
      <w:r w:rsidR="003533DD" w:rsidRPr="006664D1">
        <w:rPr>
          <w:rFonts w:asciiTheme="minorHAnsi" w:eastAsiaTheme="majorEastAsia" w:hAnsiTheme="minorHAnsi" w:cstheme="majorBidi"/>
          <w:color w:val="2F5496" w:themeColor="accent1" w:themeShade="BF"/>
          <w:sz w:val="26"/>
          <w:szCs w:val="26"/>
          <w:lang w:eastAsia="en-US"/>
        </w:rPr>
        <w:t xml:space="preserve">Key </w:t>
      </w:r>
      <w:r w:rsidR="006C7CE4" w:rsidRPr="00AF0142">
        <w:rPr>
          <w:rFonts w:asciiTheme="minorHAnsi" w:eastAsiaTheme="majorEastAsia" w:hAnsiTheme="minorHAnsi" w:cstheme="majorBidi"/>
          <w:b/>
          <w:color w:val="2F5496" w:themeColor="accent1" w:themeShade="BF"/>
          <w:sz w:val="26"/>
          <w:szCs w:val="26"/>
          <w:lang w:eastAsia="en-US"/>
        </w:rPr>
        <w:t>challenges</w:t>
      </w:r>
      <w:r w:rsidR="003533DD" w:rsidRPr="006664D1">
        <w:rPr>
          <w:rFonts w:asciiTheme="minorHAnsi" w:eastAsiaTheme="majorEastAsia" w:hAnsiTheme="minorHAnsi" w:cstheme="majorBidi"/>
          <w:color w:val="2F5496" w:themeColor="accent1" w:themeShade="BF"/>
          <w:sz w:val="26"/>
          <w:szCs w:val="26"/>
          <w:lang w:eastAsia="en-US"/>
        </w:rPr>
        <w:t xml:space="preserve"> of integration</w:t>
      </w:r>
    </w:p>
    <w:p w14:paraId="1F4ED97C" w14:textId="7F4B13CB" w:rsidR="00CE205E" w:rsidRPr="00AF0142" w:rsidRDefault="00CE205E" w:rsidP="00AF0142">
      <w:pPr>
        <w:pStyle w:val="NormalWeb"/>
        <w:numPr>
          <w:ilvl w:val="0"/>
          <w:numId w:val="9"/>
        </w:numPr>
        <w:jc w:val="both"/>
        <w:rPr>
          <w:rFonts w:asciiTheme="minorHAnsi" w:eastAsiaTheme="minorHAnsi" w:hAnsiTheme="minorHAnsi" w:cstheme="minorBidi"/>
          <w:sz w:val="22"/>
          <w:szCs w:val="22"/>
          <w:lang w:eastAsia="en-US"/>
        </w:rPr>
      </w:pPr>
      <w:r w:rsidRPr="00AF0142">
        <w:rPr>
          <w:rFonts w:asciiTheme="minorHAnsi" w:eastAsiaTheme="minorHAnsi" w:hAnsiTheme="minorHAnsi" w:cstheme="minorBidi"/>
          <w:b/>
          <w:sz w:val="22"/>
          <w:szCs w:val="22"/>
          <w:lang w:eastAsia="en-US"/>
        </w:rPr>
        <w:t>Harmonis</w:t>
      </w:r>
      <w:r w:rsidR="00021A5B" w:rsidRPr="00AF0142">
        <w:rPr>
          <w:rFonts w:asciiTheme="minorHAnsi" w:eastAsiaTheme="minorHAnsi" w:hAnsiTheme="minorHAnsi" w:cstheme="minorBidi"/>
          <w:b/>
          <w:sz w:val="22"/>
          <w:szCs w:val="22"/>
          <w:lang w:eastAsia="en-US"/>
        </w:rPr>
        <w:t xml:space="preserve">ation </w:t>
      </w:r>
      <w:r w:rsidRPr="00AF0142">
        <w:rPr>
          <w:rFonts w:asciiTheme="minorHAnsi" w:eastAsiaTheme="minorHAnsi" w:hAnsiTheme="minorHAnsi" w:cstheme="minorBidi"/>
          <w:b/>
          <w:sz w:val="22"/>
          <w:szCs w:val="22"/>
          <w:lang w:eastAsia="en-US"/>
        </w:rPr>
        <w:t>of sample and survey designs</w:t>
      </w:r>
      <w:r w:rsidRPr="00AF0142">
        <w:rPr>
          <w:rFonts w:asciiTheme="minorHAnsi" w:eastAsiaTheme="minorHAnsi" w:hAnsiTheme="minorHAnsi" w:cstheme="minorBidi"/>
          <w:sz w:val="22"/>
          <w:szCs w:val="22"/>
          <w:lang w:eastAsia="en-US"/>
        </w:rPr>
        <w:t>; for example, PCS uses an unequal probability stratified, clustered sample compared to LFS which uses an equal probability random sample.</w:t>
      </w:r>
      <w:r w:rsidR="00DA7262" w:rsidRPr="00AF0142">
        <w:rPr>
          <w:rFonts w:asciiTheme="minorHAnsi" w:eastAsiaTheme="minorHAnsi" w:hAnsiTheme="minorHAnsi" w:cstheme="minorBidi"/>
          <w:sz w:val="22"/>
          <w:szCs w:val="22"/>
          <w:lang w:eastAsia="en-US"/>
        </w:rPr>
        <w:t xml:space="preserve">  Work is underway to determine the most efficient and effective sampling technique for </w:t>
      </w:r>
      <w:r w:rsidR="00905A50">
        <w:rPr>
          <w:rFonts w:asciiTheme="minorHAnsi" w:eastAsiaTheme="minorHAnsi" w:hAnsiTheme="minorHAnsi" w:cstheme="minorBidi"/>
          <w:sz w:val="22"/>
          <w:szCs w:val="22"/>
          <w:lang w:eastAsia="en-US"/>
        </w:rPr>
        <w:t>the IPACS</w:t>
      </w:r>
      <w:r w:rsidR="00DA7262" w:rsidRPr="00AF0142">
        <w:rPr>
          <w:rFonts w:asciiTheme="minorHAnsi" w:eastAsiaTheme="minorHAnsi" w:hAnsiTheme="minorHAnsi" w:cstheme="minorBidi"/>
          <w:sz w:val="22"/>
          <w:szCs w:val="22"/>
          <w:lang w:eastAsia="en-US"/>
        </w:rPr>
        <w:t>.</w:t>
      </w:r>
    </w:p>
    <w:p w14:paraId="31C54561" w14:textId="0D1A640A" w:rsidR="000207B3" w:rsidRPr="00AF0142" w:rsidRDefault="000207B3" w:rsidP="00AF0142">
      <w:pPr>
        <w:pStyle w:val="NormalWeb"/>
        <w:numPr>
          <w:ilvl w:val="0"/>
          <w:numId w:val="9"/>
        </w:numPr>
        <w:jc w:val="both"/>
        <w:rPr>
          <w:rFonts w:asciiTheme="minorHAnsi" w:eastAsiaTheme="minorHAnsi" w:hAnsiTheme="minorHAnsi" w:cstheme="minorBidi"/>
          <w:sz w:val="22"/>
          <w:szCs w:val="22"/>
          <w:lang w:eastAsia="en-US"/>
        </w:rPr>
      </w:pPr>
      <w:r w:rsidRPr="00AF0142">
        <w:rPr>
          <w:rFonts w:asciiTheme="minorHAnsi" w:eastAsiaTheme="minorHAnsi" w:hAnsiTheme="minorHAnsi" w:cstheme="minorBidi"/>
          <w:b/>
          <w:sz w:val="22"/>
          <w:szCs w:val="22"/>
          <w:lang w:eastAsia="en-US"/>
        </w:rPr>
        <w:t>Harmonisation of questions and definitions</w:t>
      </w:r>
      <w:r w:rsidRPr="00AF0142">
        <w:rPr>
          <w:rFonts w:asciiTheme="minorHAnsi" w:eastAsiaTheme="minorHAnsi" w:hAnsiTheme="minorHAnsi" w:cstheme="minorBidi"/>
          <w:sz w:val="22"/>
          <w:szCs w:val="22"/>
          <w:lang w:eastAsia="en-US"/>
        </w:rPr>
        <w:t xml:space="preserve"> between surveys</w:t>
      </w:r>
      <w:r w:rsidR="00C86DA2" w:rsidRPr="00AF0142">
        <w:rPr>
          <w:rFonts w:asciiTheme="minorHAnsi" w:eastAsiaTheme="minorHAnsi" w:hAnsiTheme="minorHAnsi" w:cstheme="minorBidi"/>
          <w:sz w:val="22"/>
          <w:szCs w:val="22"/>
          <w:lang w:eastAsia="en-US"/>
        </w:rPr>
        <w:t>;</w:t>
      </w:r>
      <w:r w:rsidRPr="00AF0142">
        <w:rPr>
          <w:rFonts w:asciiTheme="minorHAnsi" w:eastAsiaTheme="minorHAnsi" w:hAnsiTheme="minorHAnsi" w:cstheme="minorBidi"/>
          <w:sz w:val="22"/>
          <w:szCs w:val="22"/>
          <w:lang w:eastAsia="en-US"/>
        </w:rPr>
        <w:t xml:space="preserve"> for example, LFS currentl</w:t>
      </w:r>
      <w:r w:rsidR="00570790" w:rsidRPr="00AF0142">
        <w:rPr>
          <w:rFonts w:asciiTheme="minorHAnsi" w:eastAsiaTheme="minorHAnsi" w:hAnsiTheme="minorHAnsi" w:cstheme="minorBidi"/>
          <w:sz w:val="22"/>
          <w:szCs w:val="22"/>
          <w:lang w:eastAsia="en-US"/>
        </w:rPr>
        <w:t>y captures information on earning</w:t>
      </w:r>
      <w:r w:rsidR="006C7CE4" w:rsidRPr="00AF0142">
        <w:rPr>
          <w:rFonts w:asciiTheme="minorHAnsi" w:eastAsiaTheme="minorHAnsi" w:hAnsiTheme="minorHAnsi" w:cstheme="minorBidi"/>
          <w:sz w:val="22"/>
          <w:szCs w:val="22"/>
          <w:lang w:eastAsia="en-US"/>
        </w:rPr>
        <w:t>s</w:t>
      </w:r>
      <w:r w:rsidRPr="00AF0142">
        <w:rPr>
          <w:rFonts w:asciiTheme="minorHAnsi" w:eastAsiaTheme="minorHAnsi" w:hAnsiTheme="minorHAnsi" w:cstheme="minorBidi"/>
          <w:sz w:val="22"/>
          <w:szCs w:val="22"/>
          <w:lang w:eastAsia="en-US"/>
        </w:rPr>
        <w:t xml:space="preserve"> in a different way to HFS</w:t>
      </w:r>
      <w:r w:rsidR="00673A62" w:rsidRPr="00AF0142">
        <w:rPr>
          <w:rFonts w:asciiTheme="minorHAnsi" w:eastAsiaTheme="minorHAnsi" w:hAnsiTheme="minorHAnsi" w:cstheme="minorBidi"/>
          <w:sz w:val="22"/>
          <w:szCs w:val="22"/>
          <w:lang w:eastAsia="en-US"/>
        </w:rPr>
        <w:t>.</w:t>
      </w:r>
      <w:r w:rsidR="00CE205E" w:rsidRPr="00AF0142">
        <w:rPr>
          <w:rFonts w:asciiTheme="minorHAnsi" w:eastAsiaTheme="minorHAnsi" w:hAnsiTheme="minorHAnsi" w:cstheme="minorBidi"/>
          <w:sz w:val="22"/>
          <w:szCs w:val="22"/>
          <w:lang w:eastAsia="en-US"/>
        </w:rPr>
        <w:t xml:space="preserve">  </w:t>
      </w:r>
      <w:r w:rsidR="00DA7262" w:rsidRPr="00AF0142">
        <w:rPr>
          <w:rFonts w:asciiTheme="minorHAnsi" w:eastAsiaTheme="minorHAnsi" w:hAnsiTheme="minorHAnsi" w:cstheme="minorBidi"/>
          <w:sz w:val="22"/>
          <w:szCs w:val="22"/>
          <w:lang w:eastAsia="en-US"/>
        </w:rPr>
        <w:t xml:space="preserve">This is an opportunity to provide more harmonised stardards across outputs where possible, but will present challenges when considering </w:t>
      </w:r>
      <w:r w:rsidR="008D2D33" w:rsidRPr="00AF0142">
        <w:rPr>
          <w:rFonts w:asciiTheme="minorHAnsi" w:eastAsiaTheme="minorHAnsi" w:hAnsiTheme="minorHAnsi" w:cstheme="minorBidi"/>
          <w:sz w:val="22"/>
          <w:szCs w:val="22"/>
          <w:lang w:eastAsia="en-US"/>
        </w:rPr>
        <w:t xml:space="preserve">breaks in </w:t>
      </w:r>
      <w:r w:rsidR="00DA7262" w:rsidRPr="00AF0142">
        <w:rPr>
          <w:rFonts w:asciiTheme="minorHAnsi" w:eastAsiaTheme="minorHAnsi" w:hAnsiTheme="minorHAnsi" w:cstheme="minorBidi"/>
          <w:sz w:val="22"/>
          <w:szCs w:val="22"/>
          <w:lang w:eastAsia="en-US"/>
        </w:rPr>
        <w:t xml:space="preserve">time series or different </w:t>
      </w:r>
      <w:r w:rsidR="008D2D33" w:rsidRPr="00AF0142">
        <w:rPr>
          <w:rFonts w:asciiTheme="minorHAnsi" w:eastAsiaTheme="minorHAnsi" w:hAnsiTheme="minorHAnsi" w:cstheme="minorBidi"/>
          <w:sz w:val="22"/>
          <w:szCs w:val="22"/>
          <w:lang w:eastAsia="en-US"/>
        </w:rPr>
        <w:t>legislative requirements (e.g. EuroStat outputs)</w:t>
      </w:r>
      <w:r w:rsidR="00DA7262" w:rsidRPr="00AF0142">
        <w:rPr>
          <w:rFonts w:asciiTheme="minorHAnsi" w:eastAsiaTheme="minorHAnsi" w:hAnsiTheme="minorHAnsi" w:cstheme="minorBidi"/>
          <w:sz w:val="22"/>
          <w:szCs w:val="22"/>
          <w:lang w:eastAsia="en-US"/>
        </w:rPr>
        <w:t>.</w:t>
      </w:r>
    </w:p>
    <w:p w14:paraId="33F6EC73" w14:textId="7F108C05" w:rsidR="000207B3" w:rsidRPr="006664D1" w:rsidRDefault="000207B3" w:rsidP="00AF0142">
      <w:pPr>
        <w:pStyle w:val="NormalWeb"/>
        <w:numPr>
          <w:ilvl w:val="0"/>
          <w:numId w:val="9"/>
        </w:numPr>
        <w:jc w:val="both"/>
        <w:rPr>
          <w:rFonts w:asciiTheme="minorHAnsi" w:eastAsiaTheme="minorHAnsi" w:hAnsiTheme="minorHAnsi" w:cstheme="minorBidi"/>
          <w:sz w:val="22"/>
          <w:szCs w:val="22"/>
          <w:lang w:eastAsia="en-US"/>
        </w:rPr>
      </w:pPr>
      <w:r w:rsidRPr="006664D1">
        <w:rPr>
          <w:rFonts w:asciiTheme="minorHAnsi" w:eastAsiaTheme="minorHAnsi" w:hAnsiTheme="minorHAnsi" w:cstheme="minorBidi"/>
          <w:b/>
          <w:sz w:val="22"/>
          <w:szCs w:val="22"/>
          <w:lang w:eastAsia="en-US"/>
        </w:rPr>
        <w:t>Understanding user requirements</w:t>
      </w:r>
      <w:r w:rsidRPr="006664D1">
        <w:rPr>
          <w:rFonts w:asciiTheme="minorHAnsi" w:eastAsiaTheme="minorHAnsi" w:hAnsiTheme="minorHAnsi" w:cstheme="minorBidi"/>
          <w:sz w:val="22"/>
          <w:szCs w:val="22"/>
          <w:lang w:eastAsia="en-US"/>
        </w:rPr>
        <w:t xml:space="preserve"> – there are a vast array of users of the LFS and APS who use the data in a multitude of ways; an exercise is underway to gather core user requirements from Government departments and to categorise these into common themes.</w:t>
      </w:r>
    </w:p>
    <w:p w14:paraId="22D9D285" w14:textId="1319A82B" w:rsidR="000207B3" w:rsidRPr="008D7576" w:rsidRDefault="006C7CE4" w:rsidP="00AF0142">
      <w:pPr>
        <w:pStyle w:val="NormalWeb"/>
        <w:numPr>
          <w:ilvl w:val="0"/>
          <w:numId w:val="9"/>
        </w:numPr>
        <w:jc w:val="both"/>
        <w:rPr>
          <w:rFonts w:asciiTheme="minorHAnsi" w:eastAsiaTheme="minorHAnsi" w:hAnsiTheme="minorHAnsi" w:cstheme="minorBidi"/>
          <w:sz w:val="22"/>
          <w:szCs w:val="22"/>
          <w:lang w:eastAsia="en-US"/>
        </w:rPr>
      </w:pPr>
      <w:r w:rsidRPr="008D7576">
        <w:rPr>
          <w:rFonts w:asciiTheme="minorHAnsi" w:eastAsiaTheme="minorHAnsi" w:hAnsiTheme="minorHAnsi" w:cstheme="minorBidi"/>
          <w:b/>
          <w:sz w:val="22"/>
          <w:szCs w:val="22"/>
          <w:lang w:eastAsia="en-US"/>
        </w:rPr>
        <w:t>R</w:t>
      </w:r>
      <w:r w:rsidR="000207B3" w:rsidRPr="008D7576">
        <w:rPr>
          <w:rFonts w:asciiTheme="minorHAnsi" w:eastAsiaTheme="minorHAnsi" w:hAnsiTheme="minorHAnsi" w:cstheme="minorBidi"/>
          <w:b/>
          <w:sz w:val="22"/>
          <w:szCs w:val="22"/>
          <w:lang w:eastAsia="en-US"/>
        </w:rPr>
        <w:t>eference weeks</w:t>
      </w:r>
      <w:r w:rsidR="000207B3" w:rsidRPr="008D7576">
        <w:rPr>
          <w:rFonts w:asciiTheme="minorHAnsi" w:eastAsiaTheme="minorHAnsi" w:hAnsiTheme="minorHAnsi" w:cstheme="minorBidi"/>
          <w:sz w:val="22"/>
          <w:szCs w:val="22"/>
          <w:lang w:eastAsia="en-US"/>
        </w:rPr>
        <w:t xml:space="preserve"> </w:t>
      </w:r>
      <w:r w:rsidR="002C2E43" w:rsidRPr="008D7576">
        <w:rPr>
          <w:rFonts w:asciiTheme="minorHAnsi" w:eastAsiaTheme="minorHAnsi" w:hAnsiTheme="minorHAnsi" w:cstheme="minorBidi"/>
          <w:sz w:val="22"/>
          <w:szCs w:val="22"/>
          <w:lang w:eastAsia="en-US"/>
        </w:rPr>
        <w:t>–</w:t>
      </w:r>
      <w:r w:rsidR="000207B3" w:rsidRPr="008D7576">
        <w:rPr>
          <w:rFonts w:asciiTheme="minorHAnsi" w:eastAsiaTheme="minorHAnsi" w:hAnsiTheme="minorHAnsi" w:cstheme="minorBidi"/>
          <w:sz w:val="22"/>
          <w:szCs w:val="22"/>
          <w:lang w:eastAsia="en-US"/>
        </w:rPr>
        <w:t xml:space="preserve"> </w:t>
      </w:r>
      <w:r w:rsidR="002C2E43" w:rsidRPr="008D7576">
        <w:rPr>
          <w:rFonts w:asciiTheme="minorHAnsi" w:eastAsiaTheme="minorHAnsi" w:hAnsiTheme="minorHAnsi" w:cstheme="minorBidi"/>
          <w:sz w:val="22"/>
          <w:szCs w:val="22"/>
          <w:lang w:eastAsia="en-US"/>
        </w:rPr>
        <w:t>to aid respondent recall</w:t>
      </w:r>
      <w:r w:rsidR="008D2D33" w:rsidRPr="008D7576">
        <w:rPr>
          <w:rFonts w:asciiTheme="minorHAnsi" w:eastAsiaTheme="minorHAnsi" w:hAnsiTheme="minorHAnsi" w:cstheme="minorBidi"/>
          <w:sz w:val="22"/>
          <w:szCs w:val="22"/>
          <w:lang w:eastAsia="en-US"/>
        </w:rPr>
        <w:t xml:space="preserve"> for the online mode</w:t>
      </w:r>
      <w:r w:rsidR="002C2E43" w:rsidRPr="008D7576">
        <w:rPr>
          <w:rFonts w:asciiTheme="minorHAnsi" w:eastAsiaTheme="minorHAnsi" w:hAnsiTheme="minorHAnsi" w:cstheme="minorBidi"/>
          <w:sz w:val="22"/>
          <w:szCs w:val="22"/>
          <w:lang w:eastAsia="en-US"/>
        </w:rPr>
        <w:t>, a ‘rolling’ reference week has been used</w:t>
      </w:r>
      <w:r w:rsidR="008D2D33" w:rsidRPr="008D7576">
        <w:rPr>
          <w:rFonts w:asciiTheme="minorHAnsi" w:eastAsiaTheme="minorHAnsi" w:hAnsiTheme="minorHAnsi" w:cstheme="minorBidi"/>
          <w:sz w:val="22"/>
          <w:szCs w:val="22"/>
          <w:lang w:eastAsia="en-US"/>
        </w:rPr>
        <w:t xml:space="preserve"> for core labour market questions.  The impact of this, compared to the fixed reference week approach currently used by LFS, is currently being explored.</w:t>
      </w:r>
    </w:p>
    <w:p w14:paraId="28CABE9E" w14:textId="023BF6AF" w:rsidR="000207B3" w:rsidRDefault="000207B3" w:rsidP="00AF0142">
      <w:pPr>
        <w:pStyle w:val="NormalWeb"/>
        <w:numPr>
          <w:ilvl w:val="0"/>
          <w:numId w:val="9"/>
        </w:numPr>
        <w:jc w:val="both"/>
        <w:rPr>
          <w:rFonts w:asciiTheme="minorHAnsi" w:eastAsiaTheme="minorHAnsi" w:hAnsiTheme="minorHAnsi" w:cstheme="minorBidi"/>
          <w:sz w:val="22"/>
          <w:szCs w:val="22"/>
          <w:lang w:eastAsia="en-US"/>
        </w:rPr>
      </w:pPr>
      <w:r w:rsidRPr="006664D1">
        <w:rPr>
          <w:rFonts w:asciiTheme="minorHAnsi" w:eastAsiaTheme="minorHAnsi" w:hAnsiTheme="minorHAnsi" w:cstheme="minorBidi"/>
          <w:b/>
          <w:sz w:val="22"/>
          <w:szCs w:val="22"/>
          <w:lang w:eastAsia="en-US"/>
        </w:rPr>
        <w:t>Interviewer challenges</w:t>
      </w:r>
      <w:r w:rsidRPr="006664D1">
        <w:rPr>
          <w:rFonts w:asciiTheme="minorHAnsi" w:eastAsiaTheme="minorHAnsi" w:hAnsiTheme="minorHAnsi" w:cstheme="minorBidi"/>
          <w:sz w:val="22"/>
          <w:szCs w:val="22"/>
          <w:lang w:eastAsia="en-US"/>
        </w:rPr>
        <w:t xml:space="preserve"> – the job of a field interviewer may become more challenging as an online first approach may be capturing those households who are more amenable to participating in a voluntary survey; interviewers may therefore encounter the ‘harder to reach’ households</w:t>
      </w:r>
    </w:p>
    <w:p w14:paraId="51733804" w14:textId="131E8A82" w:rsidR="005406CA" w:rsidRPr="006664D1" w:rsidRDefault="005406CA" w:rsidP="00AF0142">
      <w:pPr>
        <w:pStyle w:val="NormalWeb"/>
        <w:numPr>
          <w:ilvl w:val="0"/>
          <w:numId w:val="9"/>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Modernisation and integration of surveys could result in contextual or mode effects; the </w:t>
      </w:r>
      <w:r w:rsidR="003008D3">
        <w:rPr>
          <w:rFonts w:asciiTheme="minorHAnsi" w:eastAsiaTheme="minorHAnsi" w:hAnsiTheme="minorHAnsi" w:cstheme="minorBidi"/>
          <w:sz w:val="22"/>
          <w:szCs w:val="22"/>
          <w:lang w:eastAsia="en-US"/>
        </w:rPr>
        <w:t xml:space="preserve">thorough </w:t>
      </w:r>
      <w:r>
        <w:rPr>
          <w:rFonts w:asciiTheme="minorHAnsi" w:eastAsiaTheme="minorHAnsi" w:hAnsiTheme="minorHAnsi" w:cstheme="minorBidi"/>
          <w:sz w:val="22"/>
          <w:szCs w:val="22"/>
          <w:lang w:eastAsia="en-US"/>
        </w:rPr>
        <w:t>approach to survey rationalisation</w:t>
      </w:r>
      <w:r w:rsidR="003008D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redesign </w:t>
      </w:r>
      <w:r w:rsidR="003008D3">
        <w:rPr>
          <w:rFonts w:asciiTheme="minorHAnsi" w:eastAsiaTheme="minorHAnsi" w:hAnsiTheme="minorHAnsi" w:cstheme="minorBidi"/>
          <w:sz w:val="22"/>
          <w:szCs w:val="22"/>
          <w:lang w:eastAsia="en-US"/>
        </w:rPr>
        <w:t>and testing is closely considering these potential issues.  This will allow us to fully understand and minimise any such impact.</w:t>
      </w:r>
    </w:p>
    <w:p w14:paraId="59C91B1E" w14:textId="0CC89F90" w:rsidR="000207B3" w:rsidRDefault="001F6313" w:rsidP="00AF0142">
      <w:pPr>
        <w:pStyle w:val="NormalWeb"/>
        <w:numPr>
          <w:ilvl w:val="0"/>
          <w:numId w:val="9"/>
        </w:numPr>
        <w:jc w:val="both"/>
        <w:rPr>
          <w:rFonts w:asciiTheme="minorHAnsi" w:eastAsiaTheme="minorHAnsi" w:hAnsiTheme="minorHAnsi" w:cstheme="minorBidi"/>
          <w:sz w:val="22"/>
          <w:szCs w:val="22"/>
          <w:lang w:eastAsia="en-US"/>
        </w:rPr>
      </w:pPr>
      <w:r w:rsidRPr="00275019">
        <w:rPr>
          <w:rFonts w:asciiTheme="minorHAnsi" w:eastAsiaTheme="minorHAnsi" w:hAnsiTheme="minorHAnsi" w:cstheme="minorBidi"/>
          <w:b/>
          <w:sz w:val="22"/>
          <w:szCs w:val="22"/>
          <w:lang w:eastAsia="en-US"/>
        </w:rPr>
        <w:t>Attrition</w:t>
      </w:r>
      <w:r>
        <w:rPr>
          <w:rFonts w:asciiTheme="minorHAnsi" w:eastAsiaTheme="minorHAnsi" w:hAnsiTheme="minorHAnsi" w:cstheme="minorBidi"/>
          <w:sz w:val="22"/>
          <w:szCs w:val="22"/>
          <w:lang w:eastAsia="en-US"/>
        </w:rPr>
        <w:t xml:space="preserve"> could introduce additional </w:t>
      </w:r>
      <w:r w:rsidRPr="00275019">
        <w:rPr>
          <w:rFonts w:asciiTheme="minorHAnsi" w:eastAsiaTheme="minorHAnsi" w:hAnsiTheme="minorHAnsi" w:cstheme="minorBidi"/>
          <w:b/>
          <w:sz w:val="22"/>
          <w:szCs w:val="22"/>
          <w:lang w:eastAsia="en-US"/>
        </w:rPr>
        <w:t>bias</w:t>
      </w:r>
      <w:r>
        <w:rPr>
          <w:rFonts w:asciiTheme="minorHAnsi" w:eastAsiaTheme="minorHAnsi" w:hAnsiTheme="minorHAnsi" w:cstheme="minorBidi"/>
          <w:sz w:val="22"/>
          <w:szCs w:val="22"/>
          <w:lang w:eastAsia="en-US"/>
        </w:rPr>
        <w:t xml:space="preserve"> in social survey estimates</w:t>
      </w:r>
      <w:r w:rsidR="003008D3">
        <w:rPr>
          <w:rFonts w:asciiTheme="minorHAnsi" w:eastAsiaTheme="minorHAnsi" w:hAnsiTheme="minorHAnsi" w:cstheme="minorBidi"/>
          <w:sz w:val="22"/>
          <w:szCs w:val="22"/>
          <w:lang w:eastAsia="en-US"/>
        </w:rPr>
        <w:t xml:space="preserve">.  </w:t>
      </w:r>
      <w:r w:rsidR="00CD2FA0">
        <w:rPr>
          <w:rFonts w:asciiTheme="minorHAnsi" w:eastAsiaTheme="minorHAnsi" w:hAnsiTheme="minorHAnsi" w:cstheme="minorBidi"/>
          <w:sz w:val="22"/>
          <w:szCs w:val="22"/>
          <w:lang w:eastAsia="en-US"/>
        </w:rPr>
        <w:t xml:space="preserve">A mulit-wave attrition test is currently underway which will allow us to explore this issue, with further testing planned for 2020. </w:t>
      </w:r>
    </w:p>
    <w:p w14:paraId="4262F7B5" w14:textId="5C6CFBD3" w:rsidR="005C018A" w:rsidRPr="008D7576" w:rsidRDefault="005C018A" w:rsidP="00AF0142">
      <w:pPr>
        <w:pStyle w:val="NormalWeb"/>
        <w:numPr>
          <w:ilvl w:val="0"/>
          <w:numId w:val="9"/>
        </w:numPr>
        <w:jc w:val="both"/>
        <w:rPr>
          <w:rFonts w:asciiTheme="minorHAnsi" w:eastAsiaTheme="minorHAnsi" w:hAnsiTheme="minorHAnsi" w:cstheme="minorBidi"/>
          <w:sz w:val="22"/>
          <w:szCs w:val="22"/>
          <w:lang w:eastAsia="en-US"/>
        </w:rPr>
      </w:pPr>
      <w:r w:rsidRPr="008D7576">
        <w:rPr>
          <w:rFonts w:asciiTheme="minorHAnsi" w:eastAsiaTheme="minorHAnsi" w:hAnsiTheme="minorHAnsi" w:cs="CMR12"/>
          <w:b/>
          <w:sz w:val="22"/>
          <w:szCs w:val="22"/>
          <w:lang w:eastAsia="en-US"/>
        </w:rPr>
        <w:t>Non-response.</w:t>
      </w:r>
      <w:r w:rsidRPr="008D7576">
        <w:rPr>
          <w:rFonts w:asciiTheme="minorHAnsi" w:eastAsiaTheme="minorHAnsi" w:hAnsiTheme="minorHAnsi" w:cs="CMR12"/>
          <w:sz w:val="22"/>
          <w:szCs w:val="22"/>
          <w:lang w:eastAsia="en-US"/>
        </w:rPr>
        <w:t xml:space="preserve"> The Census Coverage Surveys in 2001 and 2011 achieved response rates higher than 90%. This is largely due to the collection taking place 6-8 weeks after Census day and the perception that it is mandatory to participate. From a PCS perspective, it will be much more apparent to respondents that participation is voluntary, and response rates are expected to </w:t>
      </w:r>
      <w:r w:rsidR="00CD2FA0" w:rsidRPr="008D7576">
        <w:rPr>
          <w:rFonts w:asciiTheme="minorHAnsi" w:eastAsiaTheme="minorHAnsi" w:hAnsiTheme="minorHAnsi" w:cs="CMR12"/>
          <w:sz w:val="22"/>
          <w:szCs w:val="22"/>
          <w:lang w:eastAsia="en-US"/>
        </w:rPr>
        <w:t xml:space="preserve">be significantly </w:t>
      </w:r>
      <w:r w:rsidR="00E548E5" w:rsidRPr="008D7576">
        <w:rPr>
          <w:rFonts w:asciiTheme="minorHAnsi" w:eastAsiaTheme="minorHAnsi" w:hAnsiTheme="minorHAnsi" w:cs="CMR12"/>
          <w:sz w:val="22"/>
          <w:szCs w:val="22"/>
          <w:lang w:eastAsia="en-US"/>
        </w:rPr>
        <w:t>lower than 90%</w:t>
      </w:r>
      <w:r w:rsidRPr="008D7576">
        <w:rPr>
          <w:rFonts w:asciiTheme="minorHAnsi" w:eastAsiaTheme="minorHAnsi" w:hAnsiTheme="minorHAnsi" w:cs="CMR12"/>
          <w:sz w:val="22"/>
          <w:szCs w:val="22"/>
          <w:lang w:eastAsia="en-US"/>
        </w:rPr>
        <w:t>.  Depending on the relationship between survey non-response and admin data coverage, this may result in biased population estimates.</w:t>
      </w:r>
      <w:r w:rsidR="00615734" w:rsidRPr="008D7576">
        <w:rPr>
          <w:rFonts w:asciiTheme="minorHAnsi" w:eastAsiaTheme="minorHAnsi" w:hAnsiTheme="minorHAnsi" w:cs="CMR12"/>
          <w:sz w:val="22"/>
          <w:szCs w:val="22"/>
          <w:lang w:eastAsia="en-US"/>
        </w:rPr>
        <w:t xml:space="preserve">  Work is continuing to assess required response rates and how these could be addressed.</w:t>
      </w:r>
    </w:p>
    <w:p w14:paraId="0A27815B" w14:textId="655EF93A" w:rsidR="00D93BCC" w:rsidRPr="00105200" w:rsidRDefault="00105200" w:rsidP="00AF0142">
      <w:pPr>
        <w:pStyle w:val="NormalWeb"/>
        <w:jc w:val="both"/>
        <w:rPr>
          <w:rFonts w:asciiTheme="minorHAnsi" w:eastAsiaTheme="majorEastAsia" w:hAnsiTheme="minorHAnsi" w:cstheme="majorBidi"/>
          <w:color w:val="2F5496" w:themeColor="accent1" w:themeShade="BF"/>
          <w:sz w:val="32"/>
          <w:szCs w:val="32"/>
          <w:lang w:eastAsia="en-US"/>
        </w:rPr>
      </w:pPr>
      <w:r w:rsidRPr="00105200">
        <w:rPr>
          <w:rFonts w:asciiTheme="minorHAnsi" w:eastAsiaTheme="majorEastAsia" w:hAnsiTheme="minorHAnsi" w:cstheme="majorBidi"/>
          <w:color w:val="2F5496" w:themeColor="accent1" w:themeShade="BF"/>
          <w:sz w:val="32"/>
          <w:szCs w:val="32"/>
          <w:lang w:eastAsia="en-US"/>
        </w:rPr>
        <w:t>3.0</w:t>
      </w:r>
      <w:r w:rsidRPr="00105200">
        <w:rPr>
          <w:rFonts w:asciiTheme="minorHAnsi" w:eastAsiaTheme="majorEastAsia" w:hAnsiTheme="minorHAnsi" w:cstheme="majorBidi"/>
          <w:color w:val="2F5496" w:themeColor="accent1" w:themeShade="BF"/>
          <w:sz w:val="32"/>
          <w:szCs w:val="32"/>
          <w:lang w:eastAsia="en-US"/>
        </w:rPr>
        <w:tab/>
      </w:r>
      <w:r w:rsidR="00A65FE7" w:rsidRPr="00105200">
        <w:rPr>
          <w:rFonts w:asciiTheme="minorHAnsi" w:eastAsiaTheme="majorEastAsia" w:hAnsiTheme="minorHAnsi" w:cstheme="majorBidi"/>
          <w:color w:val="2F5496" w:themeColor="accent1" w:themeShade="BF"/>
          <w:sz w:val="32"/>
          <w:szCs w:val="32"/>
          <w:lang w:eastAsia="en-US"/>
        </w:rPr>
        <w:t>Integrated Survey Testing</w:t>
      </w:r>
    </w:p>
    <w:p w14:paraId="134B69B4" w14:textId="2E990943" w:rsidR="00474CCB" w:rsidRPr="00D93BCC" w:rsidRDefault="00474CCB" w:rsidP="00AF0142">
      <w:pPr>
        <w:pStyle w:val="NormalWeb"/>
        <w:jc w:val="both"/>
        <w:rPr>
          <w:rFonts w:asciiTheme="minorHAnsi" w:eastAsiaTheme="majorEastAsia" w:hAnsiTheme="minorHAnsi" w:cstheme="majorBidi"/>
          <w:color w:val="2F5496" w:themeColor="accent1" w:themeShade="BF"/>
          <w:sz w:val="26"/>
          <w:szCs w:val="26"/>
          <w:lang w:eastAsia="en-US"/>
        </w:rPr>
      </w:pPr>
      <w:r w:rsidRPr="00275019">
        <w:rPr>
          <w:rFonts w:asciiTheme="minorHAnsi" w:eastAsiaTheme="minorHAnsi" w:hAnsiTheme="minorHAnsi" w:cstheme="minorBidi"/>
          <w:sz w:val="22"/>
          <w:szCs w:val="22"/>
        </w:rPr>
        <w:t>A</w:t>
      </w:r>
      <w:r w:rsidR="002C2E43" w:rsidRPr="00275019">
        <w:rPr>
          <w:rFonts w:asciiTheme="minorHAnsi" w:eastAsiaTheme="minorHAnsi" w:hAnsiTheme="minorHAnsi" w:cstheme="minorBidi"/>
          <w:sz w:val="22"/>
          <w:szCs w:val="22"/>
        </w:rPr>
        <w:t xml:space="preserve">n agile </w:t>
      </w:r>
      <w:r w:rsidRPr="00275019">
        <w:rPr>
          <w:rFonts w:asciiTheme="minorHAnsi" w:eastAsiaTheme="minorHAnsi" w:hAnsiTheme="minorHAnsi" w:cstheme="minorBidi"/>
          <w:sz w:val="22"/>
          <w:szCs w:val="22"/>
        </w:rPr>
        <w:t xml:space="preserve">and iterative approach to testing has taken place over the past 2 years, with each test designed to provide information and understanding of operational and statistical processes, and to </w:t>
      </w:r>
      <w:r w:rsidR="007A2EB9" w:rsidRPr="00275019">
        <w:rPr>
          <w:rFonts w:asciiTheme="minorHAnsi" w:eastAsiaTheme="minorHAnsi" w:hAnsiTheme="minorHAnsi" w:cstheme="minorBidi"/>
          <w:sz w:val="22"/>
          <w:szCs w:val="22"/>
        </w:rPr>
        <w:t xml:space="preserve">build upon the outcomes of each previous test.  Cumulatively the tests provide assurance towards the development of the </w:t>
      </w:r>
      <w:r w:rsidR="00F77E7A">
        <w:rPr>
          <w:rFonts w:asciiTheme="minorHAnsi" w:eastAsiaTheme="minorHAnsi" w:hAnsiTheme="minorHAnsi" w:cstheme="minorBidi"/>
          <w:sz w:val="22"/>
          <w:szCs w:val="22"/>
        </w:rPr>
        <w:t>IPACS</w:t>
      </w:r>
      <w:r w:rsidR="007A2EB9" w:rsidRPr="00275019">
        <w:rPr>
          <w:rFonts w:asciiTheme="minorHAnsi" w:eastAsiaTheme="minorHAnsi" w:hAnsiTheme="minorHAnsi" w:cstheme="minorBidi"/>
          <w:sz w:val="22"/>
          <w:szCs w:val="22"/>
        </w:rPr>
        <w:t xml:space="preserve"> from both quantitative and qualitative perspectives</w:t>
      </w:r>
      <w:r w:rsidR="002C2E43" w:rsidRPr="00275019">
        <w:rPr>
          <w:rFonts w:asciiTheme="minorHAnsi" w:eastAsiaTheme="minorHAnsi" w:hAnsiTheme="minorHAnsi" w:cstheme="minorBidi"/>
          <w:sz w:val="22"/>
          <w:szCs w:val="22"/>
        </w:rPr>
        <w:t>.</w:t>
      </w:r>
    </w:p>
    <w:p w14:paraId="683E6EBC" w14:textId="1AC85AAD" w:rsidR="009E42DF" w:rsidRPr="006664D1" w:rsidRDefault="009E42DF" w:rsidP="00AF0142">
      <w:pPr>
        <w:pStyle w:val="Heading3"/>
        <w:jc w:val="both"/>
        <w:rPr>
          <w:rFonts w:asciiTheme="minorHAnsi" w:hAnsiTheme="minorHAnsi"/>
        </w:rPr>
      </w:pPr>
      <w:r w:rsidRPr="006664D1">
        <w:rPr>
          <w:rFonts w:asciiTheme="minorHAnsi" w:hAnsiTheme="minorHAnsi"/>
        </w:rPr>
        <w:t>2017</w:t>
      </w:r>
    </w:p>
    <w:p w14:paraId="095A92B3" w14:textId="1FE6E1AD" w:rsidR="00EE7660" w:rsidRPr="006664D1" w:rsidRDefault="00A65FE7" w:rsidP="00AF0142">
      <w:pPr>
        <w:jc w:val="both"/>
      </w:pPr>
      <w:r w:rsidRPr="006664D1">
        <w:t>In February 2017, ONS commissioned Ipsos MORI to conduct a seri</w:t>
      </w:r>
      <w:r w:rsidR="00FB066D" w:rsidRPr="006664D1">
        <w:t xml:space="preserve">es of response rate </w:t>
      </w:r>
      <w:r w:rsidR="00CC70D2">
        <w:t>tests</w:t>
      </w:r>
      <w:r w:rsidR="00FB066D" w:rsidRPr="006664D1">
        <w:t xml:space="preserve"> to establish the optimum design for a future </w:t>
      </w:r>
      <w:r w:rsidR="00673A62">
        <w:t>LMS</w:t>
      </w:r>
      <w:r w:rsidR="00FB066D" w:rsidRPr="006664D1">
        <w:t xml:space="preserve">. The experiments </w:t>
      </w:r>
      <w:r w:rsidR="009E4344" w:rsidRPr="006664D1">
        <w:t>focussed on a</w:t>
      </w:r>
      <w:r w:rsidR="00FB066D" w:rsidRPr="006664D1">
        <w:t xml:space="preserve"> prototype </w:t>
      </w:r>
      <w:r w:rsidR="00CC70D2">
        <w:t>LMS</w:t>
      </w:r>
      <w:r w:rsidR="00FB066D" w:rsidRPr="006664D1">
        <w:t xml:space="preserve"> questionnaire – composed of a core set of LFS questions transformed by the Research &amp; Design Team wit</w:t>
      </w:r>
      <w:r w:rsidR="009E4344" w:rsidRPr="006664D1">
        <w:t>hin SST</w:t>
      </w:r>
      <w:r w:rsidR="00FB066D" w:rsidRPr="006664D1">
        <w:t>.</w:t>
      </w:r>
      <w:r w:rsidR="009E4344" w:rsidRPr="006664D1">
        <w:t xml:space="preserve"> However, these experiments also offered an opportunity to explore response rate</w:t>
      </w:r>
      <w:r w:rsidR="00CC70D2">
        <w:t>s to an integrated survey.  An integrated s</w:t>
      </w:r>
      <w:r w:rsidR="009E4344" w:rsidRPr="006664D1">
        <w:t xml:space="preserve">urvey was also </w:t>
      </w:r>
      <w:r w:rsidR="005A0C6D">
        <w:t xml:space="preserve">created </w:t>
      </w:r>
      <w:r w:rsidR="009E4344" w:rsidRPr="006664D1">
        <w:t>composing both Labour Market and Population Coverage questions.</w:t>
      </w:r>
      <w:r w:rsidR="00FB066D" w:rsidRPr="006664D1">
        <w:t xml:space="preserve"> </w:t>
      </w:r>
    </w:p>
    <w:p w14:paraId="72035784" w14:textId="2BDE7384" w:rsidR="00664124" w:rsidRPr="006664D1" w:rsidRDefault="00664124" w:rsidP="00AF0142">
      <w:pPr>
        <w:jc w:val="both"/>
      </w:pPr>
      <w:r w:rsidRPr="006664D1">
        <w:lastRenderedPageBreak/>
        <w:t xml:space="preserve">The first test involved administering an </w:t>
      </w:r>
      <w:r w:rsidRPr="00CC70D2">
        <w:rPr>
          <w:b/>
        </w:rPr>
        <w:t>online only</w:t>
      </w:r>
      <w:r w:rsidRPr="006664D1">
        <w:t xml:space="preserve"> </w:t>
      </w:r>
      <w:r w:rsidR="00CC70D2">
        <w:t>LMS</w:t>
      </w:r>
      <w:r w:rsidRPr="006664D1">
        <w:t xml:space="preserve"> to 37,000 households across Great Britain. It explored the effects of alternative combinations of survey materials (i.e. invites, pre-notification letters) and conditions (i.e. day of dispatch, length of time between invites) on uptake rate</w:t>
      </w:r>
      <w:r w:rsidR="00152D3F">
        <w:rPr>
          <w:rStyle w:val="FootnoteReference"/>
        </w:rPr>
        <w:footnoteReference w:id="2"/>
      </w:r>
      <w:r w:rsidR="00152D3F">
        <w:t xml:space="preserve"> </w:t>
      </w:r>
      <w:r w:rsidRPr="006664D1">
        <w:t>to the survey</w:t>
      </w:r>
      <w:r w:rsidR="0031491B">
        <w:t xml:space="preserve">. </w:t>
      </w:r>
      <w:r w:rsidRPr="006664D1">
        <w:t>The most effective communications strategy was found to be an invite letter followed by two reminders, issued one week apart.  This approach was difficult to put into operation, so the second most effective strategy using one reminder was chosen.</w:t>
      </w:r>
    </w:p>
    <w:p w14:paraId="054163C2" w14:textId="2DB40A02" w:rsidR="00664124" w:rsidRPr="006664D1" w:rsidRDefault="00664124" w:rsidP="00AF0142">
      <w:pPr>
        <w:jc w:val="both"/>
      </w:pPr>
      <w:r w:rsidRPr="006664D1">
        <w:t xml:space="preserve">The second </w:t>
      </w:r>
      <w:r w:rsidR="00CC2BAC">
        <w:t>test</w:t>
      </w:r>
      <w:r w:rsidRPr="006664D1">
        <w:t xml:space="preserve"> investigated the effects of different incentive strategies on uptake rate. Again, this test was </w:t>
      </w:r>
      <w:r w:rsidRPr="006664D1">
        <w:rPr>
          <w:b/>
        </w:rPr>
        <w:t>online only</w:t>
      </w:r>
      <w:r w:rsidRPr="006664D1">
        <w:t xml:space="preserve"> and was administered to 40,000 households. When both cost and up</w:t>
      </w:r>
      <w:r w:rsidR="00073260">
        <w:t>take</w:t>
      </w:r>
      <w:r w:rsidRPr="006664D1">
        <w:t xml:space="preserve"> were taken into consideration, the most effective incentive was found to be the non-monetary incentive of a tote bag, achieving </w:t>
      </w:r>
      <w:r w:rsidRPr="006664D1">
        <w:rPr>
          <w:b/>
        </w:rPr>
        <w:t>27.8%</w:t>
      </w:r>
      <w:r w:rsidRPr="006664D1">
        <w:t xml:space="preserve"> uptake rate.</w:t>
      </w:r>
    </w:p>
    <w:p w14:paraId="698CD418" w14:textId="434E4FA6" w:rsidR="007B697F" w:rsidRDefault="00CC70D2" w:rsidP="00AF0142">
      <w:pPr>
        <w:jc w:val="both"/>
      </w:pPr>
      <w:r>
        <w:t>The second test also explored r</w:t>
      </w:r>
      <w:r w:rsidR="009A2293" w:rsidRPr="006664D1">
        <w:t xml:space="preserve">esponse rates to both the integrated survey and individual </w:t>
      </w:r>
      <w:r w:rsidR="00673A62">
        <w:t xml:space="preserve">LMS </w:t>
      </w:r>
      <w:r w:rsidR="009A2293" w:rsidRPr="006664D1">
        <w:t xml:space="preserve">and </w:t>
      </w:r>
      <w:r w:rsidR="00673A62">
        <w:t>PCS</w:t>
      </w:r>
      <w:r w:rsidR="009A2293" w:rsidRPr="006664D1">
        <w:t xml:space="preserve">. </w:t>
      </w:r>
      <w:r w:rsidR="00903F23">
        <w:t>Figur</w:t>
      </w:r>
      <w:r w:rsidR="00154A1E">
        <w:t>e 2 illustrates the three comparative response rate experiments that were undertaken</w:t>
      </w:r>
      <w:r>
        <w:t xml:space="preserve"> as part of this test</w:t>
      </w:r>
      <w:r w:rsidR="00154A1E">
        <w:t>.</w:t>
      </w:r>
    </w:p>
    <w:p w14:paraId="7E5826E2" w14:textId="32250C2F" w:rsidR="00DF5D3A" w:rsidRDefault="00903F23" w:rsidP="00AF0142">
      <w:pPr>
        <w:autoSpaceDE w:val="0"/>
        <w:autoSpaceDN w:val="0"/>
        <w:spacing w:after="0" w:line="240" w:lineRule="auto"/>
        <w:jc w:val="both"/>
        <w:rPr>
          <w:rFonts w:cs="Times New Roman"/>
          <w:i/>
          <w:color w:val="000000"/>
        </w:rPr>
      </w:pPr>
      <w:r>
        <w:rPr>
          <w:rFonts w:cs="Times New Roman"/>
          <w:i/>
          <w:color w:val="000000"/>
        </w:rPr>
        <w:t>Figure 2</w:t>
      </w:r>
      <w:r w:rsidRPr="006664D1">
        <w:rPr>
          <w:rFonts w:cs="Times New Roman"/>
          <w:i/>
          <w:color w:val="000000"/>
        </w:rPr>
        <w:t xml:space="preserve">: Concepts underpinning the ONS </w:t>
      </w:r>
      <w:r w:rsidR="00F77E7A">
        <w:rPr>
          <w:rFonts w:cs="Times New Roman"/>
          <w:i/>
          <w:color w:val="000000"/>
        </w:rPr>
        <w:t>Integrated Population and Characteristics Survey</w:t>
      </w:r>
      <w:r w:rsidRPr="006664D1">
        <w:rPr>
          <w:rFonts w:cs="Times New Roman"/>
          <w:i/>
          <w:color w:val="000000"/>
        </w:rPr>
        <w:t xml:space="preserve"> (</w:t>
      </w:r>
      <w:r w:rsidR="00F77E7A">
        <w:rPr>
          <w:rFonts w:cs="Times New Roman"/>
          <w:i/>
          <w:color w:val="000000"/>
        </w:rPr>
        <w:t>IPACS</w:t>
      </w:r>
      <w:r w:rsidRPr="006664D1">
        <w:rPr>
          <w:rFonts w:cs="Times New Roman"/>
          <w:i/>
          <w:color w:val="000000"/>
        </w:rPr>
        <w:t xml:space="preserve">) </w:t>
      </w:r>
    </w:p>
    <w:tbl>
      <w:tblPr>
        <w:tblStyle w:val="TableGrid1"/>
        <w:tblpPr w:leftFromText="180" w:rightFromText="180" w:vertAnchor="text" w:horzAnchor="margin" w:tblpXSpec="center" w:tblpY="445"/>
        <w:tblW w:w="8857" w:type="dxa"/>
        <w:tblLook w:val="04A0" w:firstRow="1" w:lastRow="0" w:firstColumn="1" w:lastColumn="0" w:noHBand="0" w:noVBand="1"/>
      </w:tblPr>
      <w:tblGrid>
        <w:gridCol w:w="922"/>
        <w:gridCol w:w="1052"/>
        <w:gridCol w:w="2742"/>
        <w:gridCol w:w="1165"/>
        <w:gridCol w:w="1050"/>
        <w:gridCol w:w="872"/>
        <w:gridCol w:w="1054"/>
      </w:tblGrid>
      <w:tr w:rsidR="00DF5D3A" w:rsidRPr="00DF5D3A" w14:paraId="3A713DBD" w14:textId="77777777" w:rsidTr="006E6312">
        <w:trPr>
          <w:trHeight w:val="174"/>
        </w:trPr>
        <w:tc>
          <w:tcPr>
            <w:tcW w:w="1992" w:type="dxa"/>
            <w:gridSpan w:val="2"/>
            <w:vMerge w:val="restart"/>
          </w:tcPr>
          <w:p w14:paraId="67FD11FD" w14:textId="77777777" w:rsidR="00DF5D3A" w:rsidRPr="00DF5D3A" w:rsidRDefault="00DF5D3A" w:rsidP="00AF0142">
            <w:pPr>
              <w:jc w:val="both"/>
            </w:pPr>
          </w:p>
          <w:p w14:paraId="72A8099F" w14:textId="77777777" w:rsidR="00DF5D3A" w:rsidRPr="00DF5D3A" w:rsidRDefault="00DF5D3A" w:rsidP="00AF0142">
            <w:pPr>
              <w:jc w:val="both"/>
            </w:pPr>
            <w:r w:rsidRPr="00DF5D3A">
              <w:t>Tests</w:t>
            </w:r>
          </w:p>
        </w:tc>
        <w:tc>
          <w:tcPr>
            <w:tcW w:w="2818" w:type="dxa"/>
            <w:vMerge w:val="restart"/>
          </w:tcPr>
          <w:p w14:paraId="33861C7D" w14:textId="77777777" w:rsidR="00DF5D3A" w:rsidRPr="00DF5D3A" w:rsidRDefault="00DF5D3A" w:rsidP="00AF0142">
            <w:pPr>
              <w:jc w:val="both"/>
            </w:pPr>
          </w:p>
          <w:p w14:paraId="3AFFA779" w14:textId="77777777" w:rsidR="00DF5D3A" w:rsidRPr="00DF5D3A" w:rsidRDefault="00DF5D3A" w:rsidP="00AF0142">
            <w:pPr>
              <w:jc w:val="both"/>
            </w:pPr>
            <w:r w:rsidRPr="00DF5D3A">
              <w:t>Online</w:t>
            </w:r>
          </w:p>
        </w:tc>
        <w:tc>
          <w:tcPr>
            <w:tcW w:w="4046" w:type="dxa"/>
            <w:gridSpan w:val="4"/>
          </w:tcPr>
          <w:p w14:paraId="7CC8B268" w14:textId="77777777" w:rsidR="00DF5D3A" w:rsidRPr="00DF5D3A" w:rsidRDefault="00DF5D3A" w:rsidP="00AF0142">
            <w:pPr>
              <w:jc w:val="both"/>
            </w:pPr>
            <w:r w:rsidRPr="00DF5D3A">
              <w:t>Follow Up</w:t>
            </w:r>
          </w:p>
        </w:tc>
      </w:tr>
      <w:tr w:rsidR="006E6312" w:rsidRPr="00DF5D3A" w14:paraId="700960E5" w14:textId="77777777" w:rsidTr="006E6312">
        <w:trPr>
          <w:trHeight w:val="174"/>
        </w:trPr>
        <w:tc>
          <w:tcPr>
            <w:tcW w:w="1992" w:type="dxa"/>
            <w:gridSpan w:val="2"/>
            <w:vMerge/>
          </w:tcPr>
          <w:p w14:paraId="255A3C2D" w14:textId="77777777" w:rsidR="00DF5D3A" w:rsidRPr="00DF5D3A" w:rsidRDefault="00DF5D3A" w:rsidP="00AF0142">
            <w:pPr>
              <w:jc w:val="both"/>
            </w:pPr>
          </w:p>
        </w:tc>
        <w:tc>
          <w:tcPr>
            <w:tcW w:w="2818" w:type="dxa"/>
            <w:vMerge/>
          </w:tcPr>
          <w:p w14:paraId="11C34CE3" w14:textId="77777777" w:rsidR="00DF5D3A" w:rsidRPr="00DF5D3A" w:rsidRDefault="00DF5D3A" w:rsidP="00AF0142">
            <w:pPr>
              <w:jc w:val="both"/>
            </w:pPr>
          </w:p>
        </w:tc>
        <w:tc>
          <w:tcPr>
            <w:tcW w:w="1065" w:type="dxa"/>
          </w:tcPr>
          <w:p w14:paraId="0C695F55" w14:textId="77777777" w:rsidR="00DF5D3A" w:rsidRPr="00DF5D3A" w:rsidRDefault="00DF5D3A" w:rsidP="00AF0142">
            <w:pPr>
              <w:jc w:val="both"/>
            </w:pPr>
            <w:r w:rsidRPr="00DF5D3A">
              <w:t>Telephone Capture</w:t>
            </w:r>
          </w:p>
        </w:tc>
        <w:tc>
          <w:tcPr>
            <w:tcW w:w="1067" w:type="dxa"/>
          </w:tcPr>
          <w:p w14:paraId="417B0291" w14:textId="77777777" w:rsidR="00DF5D3A" w:rsidRPr="00DF5D3A" w:rsidRDefault="00DF5D3A" w:rsidP="00AF0142">
            <w:pPr>
              <w:jc w:val="both"/>
            </w:pPr>
            <w:r w:rsidRPr="00DF5D3A">
              <w:t>Face to Face</w:t>
            </w:r>
          </w:p>
        </w:tc>
        <w:tc>
          <w:tcPr>
            <w:tcW w:w="854" w:type="dxa"/>
          </w:tcPr>
          <w:p w14:paraId="271E417B" w14:textId="77777777" w:rsidR="00DF5D3A" w:rsidRPr="00DF5D3A" w:rsidRDefault="00DF5D3A" w:rsidP="00AF0142">
            <w:pPr>
              <w:jc w:val="both"/>
            </w:pPr>
          </w:p>
          <w:p w14:paraId="4EC2C621" w14:textId="77777777" w:rsidR="00DF5D3A" w:rsidRPr="00DF5D3A" w:rsidRDefault="00DF5D3A" w:rsidP="00AF0142">
            <w:pPr>
              <w:jc w:val="both"/>
            </w:pPr>
            <w:r w:rsidRPr="00DF5D3A">
              <w:t>Paper</w:t>
            </w:r>
          </w:p>
        </w:tc>
        <w:tc>
          <w:tcPr>
            <w:tcW w:w="1058" w:type="dxa"/>
          </w:tcPr>
          <w:p w14:paraId="2137AD8B" w14:textId="77777777" w:rsidR="00DF5D3A" w:rsidRPr="00DF5D3A" w:rsidRDefault="00DF5D3A" w:rsidP="00AF0142">
            <w:pPr>
              <w:jc w:val="both"/>
            </w:pPr>
            <w:r w:rsidRPr="00DF5D3A">
              <w:t>Survey Enquiry Line</w:t>
            </w:r>
          </w:p>
        </w:tc>
      </w:tr>
      <w:tr w:rsidR="006E6312" w:rsidRPr="00DF5D3A" w14:paraId="50FB83EB" w14:textId="77777777" w:rsidTr="006E6312">
        <w:trPr>
          <w:trHeight w:val="718"/>
        </w:trPr>
        <w:tc>
          <w:tcPr>
            <w:tcW w:w="935" w:type="dxa"/>
            <w:vMerge w:val="restart"/>
          </w:tcPr>
          <w:p w14:paraId="32D72242" w14:textId="77777777" w:rsidR="00DF5D3A" w:rsidRPr="00DF5D3A" w:rsidRDefault="00DF5D3A" w:rsidP="00AF0142">
            <w:pPr>
              <w:jc w:val="both"/>
            </w:pPr>
          </w:p>
          <w:p w14:paraId="024A1B91" w14:textId="77777777" w:rsidR="00DF5D3A" w:rsidRPr="00DF5D3A" w:rsidRDefault="00DF5D3A" w:rsidP="00AF0142">
            <w:pPr>
              <w:jc w:val="both"/>
            </w:pPr>
          </w:p>
          <w:p w14:paraId="70103821" w14:textId="77777777" w:rsidR="00DF5D3A" w:rsidRPr="00DF5D3A" w:rsidRDefault="00DF5D3A" w:rsidP="00AF0142">
            <w:pPr>
              <w:jc w:val="both"/>
            </w:pPr>
            <w:r w:rsidRPr="00DF5D3A">
              <w:t>Test Two</w:t>
            </w:r>
          </w:p>
        </w:tc>
        <w:tc>
          <w:tcPr>
            <w:tcW w:w="1057" w:type="dxa"/>
          </w:tcPr>
          <w:p w14:paraId="39463B82" w14:textId="77777777" w:rsidR="00DF5D3A" w:rsidRPr="00DF5D3A" w:rsidRDefault="00DF5D3A" w:rsidP="00AF0142">
            <w:pPr>
              <w:jc w:val="both"/>
            </w:pPr>
            <w:r w:rsidRPr="00DF5D3A">
              <w:t>Tranche One</w:t>
            </w:r>
          </w:p>
        </w:tc>
        <w:tc>
          <w:tcPr>
            <w:tcW w:w="2818" w:type="dxa"/>
          </w:tcPr>
          <w:p w14:paraId="5665BBD3" w14:textId="77777777" w:rsidR="00DF5D3A" w:rsidRPr="00DF5D3A" w:rsidRDefault="00DF5D3A" w:rsidP="00AF0142">
            <w:pPr>
              <w:jc w:val="both"/>
            </w:pPr>
            <w:r w:rsidRPr="00DF5D3A">
              <w:rPr>
                <w:noProof/>
                <w:lang w:eastAsia="zh-CN"/>
              </w:rPr>
              <mc:AlternateContent>
                <mc:Choice Requires="wps">
                  <w:drawing>
                    <wp:anchor distT="0" distB="0" distL="114300" distR="114300" simplePos="0" relativeHeight="251659264" behindDoc="0" locked="0" layoutInCell="1" allowOverlap="1" wp14:anchorId="52D3C932" wp14:editId="21DA70DC">
                      <wp:simplePos x="0" y="0"/>
                      <wp:positionH relativeFrom="column">
                        <wp:posOffset>-635</wp:posOffset>
                      </wp:positionH>
                      <wp:positionV relativeFrom="paragraph">
                        <wp:posOffset>52705</wp:posOffset>
                      </wp:positionV>
                      <wp:extent cx="1264920" cy="335280"/>
                      <wp:effectExtent l="0" t="0" r="11430" b="26670"/>
                      <wp:wrapNone/>
                      <wp:docPr id="1" name="Rectangle: Rounded Corners 1"/>
                      <wp:cNvGraphicFramePr/>
                      <a:graphic xmlns:a="http://schemas.openxmlformats.org/drawingml/2006/main">
                        <a:graphicData uri="http://schemas.microsoft.com/office/word/2010/wordprocessingShape">
                          <wps:wsp>
                            <wps:cNvSpPr/>
                            <wps:spPr>
                              <a:xfrm>
                                <a:off x="0" y="0"/>
                                <a:ext cx="1264920" cy="33528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07BA4A6" w14:textId="0319D322" w:rsidR="00DF5D3A" w:rsidRDefault="005A0C6D" w:rsidP="00DF5D3A">
                                  <w:pPr>
                                    <w:jc w:val="center"/>
                                  </w:pPr>
                                  <w:r>
                                    <w:t>15 Mins</w:t>
                                  </w:r>
                                  <w:r w:rsidR="00DF5D3A">
                                    <w:t xml:space="preserve"> - LMS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3C932" id="Rectangle: Rounded Corners 1" o:spid="_x0000_s1026" style="position:absolute;left:0;text-align:left;margin-left:-.05pt;margin-top:4.15pt;width:99.6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" fillcolor="#4472c4" strokecolor="#2f528f" strokeweight="1pt">
                      <v:stroke joinstyle="miter"/>
                      <v:textbox>
                        <w:txbxContent>
                          <w:p w14:paraId="507BA4A6" w14:textId="0319D322" w:rsidR="00DF5D3A" w:rsidRDefault="005A0C6D" w:rsidP="00DF5D3A">
                            <w:pPr>
                              <w:jc w:val="center"/>
                            </w:pPr>
                            <w:r>
                              <w:t>15 Mins</w:t>
                            </w:r>
                            <w:r w:rsidR="00DF5D3A">
                              <w:t xml:space="preserve"> - LMS</w:t>
                            </w:r>
                          </w:p>
                        </w:txbxContent>
                      </v:textbox>
                    </v:roundrect>
                  </w:pict>
                </mc:Fallback>
              </mc:AlternateContent>
            </w:r>
          </w:p>
        </w:tc>
        <w:tc>
          <w:tcPr>
            <w:tcW w:w="1065" w:type="dxa"/>
            <w:shd w:val="clear" w:color="auto" w:fill="D9D9D9" w:themeFill="background1" w:themeFillShade="D9"/>
          </w:tcPr>
          <w:p w14:paraId="17E36014" w14:textId="77777777" w:rsidR="00DF5D3A" w:rsidRPr="00DF5D3A" w:rsidRDefault="00DF5D3A" w:rsidP="00AF0142">
            <w:pPr>
              <w:jc w:val="both"/>
              <w:rPr>
                <w:b/>
                <w:sz w:val="32"/>
              </w:rPr>
            </w:pPr>
            <w:r w:rsidRPr="00DF5D3A">
              <w:rPr>
                <w:b/>
                <w:sz w:val="32"/>
              </w:rPr>
              <w:t>×</w:t>
            </w:r>
          </w:p>
        </w:tc>
        <w:tc>
          <w:tcPr>
            <w:tcW w:w="1067" w:type="dxa"/>
            <w:shd w:val="clear" w:color="auto" w:fill="D9D9D9" w:themeFill="background1" w:themeFillShade="D9"/>
          </w:tcPr>
          <w:p w14:paraId="08E98B41" w14:textId="77777777" w:rsidR="00DF5D3A" w:rsidRPr="00DF5D3A" w:rsidRDefault="00DF5D3A" w:rsidP="00AF0142">
            <w:pPr>
              <w:jc w:val="both"/>
              <w:rPr>
                <w:b/>
                <w:sz w:val="32"/>
              </w:rPr>
            </w:pPr>
            <w:r w:rsidRPr="00DF5D3A">
              <w:rPr>
                <w:b/>
                <w:sz w:val="32"/>
              </w:rPr>
              <w:t>×</w:t>
            </w:r>
          </w:p>
        </w:tc>
        <w:tc>
          <w:tcPr>
            <w:tcW w:w="854" w:type="dxa"/>
            <w:shd w:val="clear" w:color="auto" w:fill="D9D9D9" w:themeFill="background1" w:themeFillShade="D9"/>
          </w:tcPr>
          <w:p w14:paraId="028FE1A2" w14:textId="77777777" w:rsidR="00DF5D3A" w:rsidRPr="00DF5D3A" w:rsidRDefault="00DF5D3A" w:rsidP="00AF0142">
            <w:pPr>
              <w:jc w:val="both"/>
              <w:rPr>
                <w:b/>
                <w:sz w:val="32"/>
              </w:rPr>
            </w:pPr>
            <w:r w:rsidRPr="00DF5D3A">
              <w:rPr>
                <w:b/>
                <w:sz w:val="32"/>
              </w:rPr>
              <w:t>×</w:t>
            </w:r>
          </w:p>
        </w:tc>
        <w:tc>
          <w:tcPr>
            <w:tcW w:w="1058" w:type="dxa"/>
            <w:shd w:val="clear" w:color="auto" w:fill="E2EFD9" w:themeFill="accent6" w:themeFillTint="33"/>
          </w:tcPr>
          <w:p w14:paraId="64CFACFC" w14:textId="77777777" w:rsidR="00DF5D3A" w:rsidRPr="00DF5D3A" w:rsidRDefault="00DF5D3A" w:rsidP="00AF0142">
            <w:pPr>
              <w:jc w:val="both"/>
              <w:rPr>
                <w:rFonts w:ascii="Segoe UI Emoji" w:hAnsi="Segoe UI Emoji" w:cs="Segoe UI Emoji"/>
                <w:sz w:val="18"/>
              </w:rPr>
            </w:pPr>
          </w:p>
          <w:p w14:paraId="0E2C350A" w14:textId="77777777" w:rsidR="00DF5D3A" w:rsidRPr="00DF5D3A" w:rsidRDefault="00DF5D3A" w:rsidP="00AF0142">
            <w:pPr>
              <w:jc w:val="both"/>
            </w:pPr>
            <w:r w:rsidRPr="00DF5D3A">
              <w:rPr>
                <w:rFonts w:ascii="Segoe UI Emoji" w:hAnsi="Segoe UI Emoji" w:cs="Segoe UI Emoji"/>
                <w:sz w:val="20"/>
              </w:rPr>
              <w:t>✔</w:t>
            </w:r>
          </w:p>
        </w:tc>
      </w:tr>
      <w:tr w:rsidR="006E6312" w:rsidRPr="00DF5D3A" w14:paraId="5B37D934" w14:textId="77777777" w:rsidTr="006E6312">
        <w:trPr>
          <w:trHeight w:val="718"/>
        </w:trPr>
        <w:tc>
          <w:tcPr>
            <w:tcW w:w="935" w:type="dxa"/>
            <w:vMerge/>
          </w:tcPr>
          <w:p w14:paraId="5C00AC8E" w14:textId="77777777" w:rsidR="00DF5D3A" w:rsidRPr="00DF5D3A" w:rsidRDefault="00DF5D3A" w:rsidP="00AF0142">
            <w:pPr>
              <w:jc w:val="both"/>
            </w:pPr>
          </w:p>
        </w:tc>
        <w:tc>
          <w:tcPr>
            <w:tcW w:w="1057" w:type="dxa"/>
          </w:tcPr>
          <w:p w14:paraId="20E8A9CA" w14:textId="77777777" w:rsidR="00DF5D3A" w:rsidRPr="00DF5D3A" w:rsidRDefault="00DF5D3A" w:rsidP="00AF0142">
            <w:pPr>
              <w:jc w:val="both"/>
            </w:pPr>
            <w:r w:rsidRPr="00DF5D3A">
              <w:t>Tranche Two</w:t>
            </w:r>
          </w:p>
        </w:tc>
        <w:tc>
          <w:tcPr>
            <w:tcW w:w="2818" w:type="dxa"/>
          </w:tcPr>
          <w:p w14:paraId="18C67AEF" w14:textId="03A5594A" w:rsidR="00DF5D3A" w:rsidRPr="00DF5D3A" w:rsidRDefault="006E6312" w:rsidP="00AF0142">
            <w:pPr>
              <w:jc w:val="both"/>
            </w:pPr>
            <w:r w:rsidRPr="006E6312">
              <w:rPr>
                <w:noProof/>
                <w:lang w:eastAsia="zh-CN"/>
              </w:rPr>
              <mc:AlternateContent>
                <mc:Choice Requires="wps">
                  <w:drawing>
                    <wp:anchor distT="0" distB="0" distL="114300" distR="114300" simplePos="0" relativeHeight="251670528" behindDoc="0" locked="0" layoutInCell="1" allowOverlap="1" wp14:anchorId="795F1FCE" wp14:editId="416DC1FD">
                      <wp:simplePos x="0" y="0"/>
                      <wp:positionH relativeFrom="column">
                        <wp:posOffset>-3810</wp:posOffset>
                      </wp:positionH>
                      <wp:positionV relativeFrom="paragraph">
                        <wp:posOffset>87630</wp:posOffset>
                      </wp:positionV>
                      <wp:extent cx="990600" cy="304800"/>
                      <wp:effectExtent l="0" t="0" r="19050" b="19050"/>
                      <wp:wrapNone/>
                      <wp:docPr id="39" name="Rectangle: Rounded Corners 39"/>
                      <wp:cNvGraphicFramePr/>
                      <a:graphic xmlns:a="http://schemas.openxmlformats.org/drawingml/2006/main">
                        <a:graphicData uri="http://schemas.microsoft.com/office/word/2010/wordprocessingShape">
                          <wps:wsp>
                            <wps:cNvSpPr/>
                            <wps:spPr>
                              <a:xfrm>
                                <a:off x="0" y="0"/>
                                <a:ext cx="990600" cy="304800"/>
                              </a:xfrm>
                              <a:prstGeom prst="roundRect">
                                <a:avLst/>
                              </a:prstGeom>
                              <a:solidFill>
                                <a:srgbClr val="70AD47">
                                  <a:lumMod val="60000"/>
                                  <a:lumOff val="40000"/>
                                </a:srgbClr>
                              </a:solidFill>
                              <a:ln w="12700" cap="flat" cmpd="sng" algn="ctr">
                                <a:solidFill>
                                  <a:srgbClr val="70AD47">
                                    <a:lumMod val="75000"/>
                                  </a:srgbClr>
                                </a:solidFill>
                                <a:prstDash val="solid"/>
                                <a:miter lim="800000"/>
                              </a:ln>
                              <a:effectLst/>
                            </wps:spPr>
                            <wps:txbx>
                              <w:txbxContent>
                                <w:p w14:paraId="5C6760FC" w14:textId="6B0AD95C" w:rsidR="006E6312" w:rsidRDefault="006E6312" w:rsidP="006E6312">
                                  <w:pPr>
                                    <w:jc w:val="center"/>
                                  </w:pPr>
                                  <w:r>
                                    <w:t>5 Mins - PCS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F1FCE" id="Rectangle: Rounded Corners 39" o:spid="_x0000_s1027" style="position:absolute;left:0;text-align:left;margin-left:-.3pt;margin-top:6.9pt;width:78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" fillcolor="#a9d18e" strokecolor="#548235" strokeweight="1pt">
                      <v:stroke joinstyle="miter"/>
                      <v:textbox>
                        <w:txbxContent>
                          <w:p w14:paraId="5C6760FC" w14:textId="6B0AD95C" w:rsidR="006E6312" w:rsidRDefault="006E6312" w:rsidP="006E6312">
                            <w:pPr>
                              <w:jc w:val="center"/>
                            </w:pPr>
                            <w:r>
                              <w:t>5 Mins - PCS</w:t>
                            </w:r>
                          </w:p>
                        </w:txbxContent>
                      </v:textbox>
                    </v:roundrect>
                  </w:pict>
                </mc:Fallback>
              </mc:AlternateContent>
            </w:r>
          </w:p>
        </w:tc>
        <w:tc>
          <w:tcPr>
            <w:tcW w:w="1065" w:type="dxa"/>
            <w:shd w:val="clear" w:color="auto" w:fill="BDD6EE" w:themeFill="accent5" w:themeFillTint="66"/>
          </w:tcPr>
          <w:p w14:paraId="1166E06B" w14:textId="77777777" w:rsidR="00DF5D3A" w:rsidRPr="00DF5D3A" w:rsidRDefault="00DF5D3A" w:rsidP="00AF0142">
            <w:pPr>
              <w:jc w:val="both"/>
              <w:rPr>
                <w:rFonts w:ascii="Segoe UI Emoji" w:hAnsi="Segoe UI Emoji" w:cs="Segoe UI Emoji"/>
                <w:sz w:val="20"/>
              </w:rPr>
            </w:pPr>
          </w:p>
          <w:p w14:paraId="32BC2830" w14:textId="77777777" w:rsidR="00DF5D3A" w:rsidRPr="00DF5D3A" w:rsidRDefault="00DF5D3A" w:rsidP="00AF0142">
            <w:pPr>
              <w:jc w:val="both"/>
            </w:pPr>
            <w:r w:rsidRPr="00DF5D3A">
              <w:rPr>
                <w:rFonts w:ascii="Segoe UI Emoji" w:hAnsi="Segoe UI Emoji" w:cs="Segoe UI Emoji"/>
                <w:sz w:val="20"/>
              </w:rPr>
              <w:t>✔</w:t>
            </w:r>
          </w:p>
        </w:tc>
        <w:tc>
          <w:tcPr>
            <w:tcW w:w="1067" w:type="dxa"/>
            <w:shd w:val="clear" w:color="auto" w:fill="BDD6EE" w:themeFill="accent5" w:themeFillTint="66"/>
          </w:tcPr>
          <w:p w14:paraId="775E7F91" w14:textId="77777777" w:rsidR="00DF5D3A" w:rsidRPr="00DF5D3A" w:rsidRDefault="00DF5D3A" w:rsidP="00AF0142">
            <w:pPr>
              <w:jc w:val="both"/>
              <w:rPr>
                <w:rFonts w:ascii="Segoe UI Emoji" w:hAnsi="Segoe UI Emoji" w:cs="Segoe UI Emoji"/>
                <w:sz w:val="20"/>
              </w:rPr>
            </w:pPr>
          </w:p>
          <w:p w14:paraId="7F50DE79" w14:textId="77777777" w:rsidR="00DF5D3A" w:rsidRPr="00DF5D3A" w:rsidRDefault="00DF5D3A" w:rsidP="00AF0142">
            <w:pPr>
              <w:jc w:val="both"/>
            </w:pPr>
            <w:r w:rsidRPr="00DF5D3A">
              <w:rPr>
                <w:rFonts w:ascii="Segoe UI Emoji" w:hAnsi="Segoe UI Emoji" w:cs="Segoe UI Emoji"/>
                <w:sz w:val="20"/>
              </w:rPr>
              <w:t>✔</w:t>
            </w:r>
          </w:p>
        </w:tc>
        <w:tc>
          <w:tcPr>
            <w:tcW w:w="854" w:type="dxa"/>
            <w:shd w:val="clear" w:color="auto" w:fill="BDD6EE" w:themeFill="accent5" w:themeFillTint="66"/>
          </w:tcPr>
          <w:p w14:paraId="5C73D173" w14:textId="77777777" w:rsidR="00DF5D3A" w:rsidRPr="00DF5D3A" w:rsidRDefault="00DF5D3A" w:rsidP="00AF0142">
            <w:pPr>
              <w:jc w:val="both"/>
              <w:rPr>
                <w:rFonts w:ascii="Segoe UI Emoji" w:hAnsi="Segoe UI Emoji" w:cs="Segoe UI Emoji"/>
              </w:rPr>
            </w:pPr>
          </w:p>
          <w:p w14:paraId="62370E9A" w14:textId="77777777" w:rsidR="00DF5D3A" w:rsidRPr="00DF5D3A" w:rsidRDefault="00DF5D3A" w:rsidP="00AF0142">
            <w:pPr>
              <w:jc w:val="both"/>
            </w:pPr>
            <w:r w:rsidRPr="00DF5D3A">
              <w:rPr>
                <w:rFonts w:ascii="Segoe UI Emoji" w:hAnsi="Segoe UI Emoji" w:cs="Segoe UI Emoji"/>
              </w:rPr>
              <w:t>✔</w:t>
            </w:r>
          </w:p>
        </w:tc>
        <w:tc>
          <w:tcPr>
            <w:tcW w:w="1058" w:type="dxa"/>
            <w:shd w:val="clear" w:color="auto" w:fill="E2EFD9" w:themeFill="accent6" w:themeFillTint="33"/>
          </w:tcPr>
          <w:p w14:paraId="75382460" w14:textId="77777777" w:rsidR="00DF5D3A" w:rsidRPr="00DF5D3A" w:rsidRDefault="00DF5D3A" w:rsidP="00AF0142">
            <w:pPr>
              <w:jc w:val="both"/>
              <w:rPr>
                <w:rFonts w:ascii="Segoe UI Emoji" w:hAnsi="Segoe UI Emoji" w:cs="Segoe UI Emoji"/>
              </w:rPr>
            </w:pPr>
          </w:p>
          <w:p w14:paraId="05D86F70" w14:textId="77777777" w:rsidR="00DF5D3A" w:rsidRPr="00DF5D3A" w:rsidRDefault="00DF5D3A" w:rsidP="00AF0142">
            <w:pPr>
              <w:jc w:val="both"/>
            </w:pPr>
            <w:r w:rsidRPr="00DF5D3A">
              <w:rPr>
                <w:rFonts w:ascii="Segoe UI Emoji" w:hAnsi="Segoe UI Emoji" w:cs="Segoe UI Emoji"/>
              </w:rPr>
              <w:t>✔</w:t>
            </w:r>
          </w:p>
        </w:tc>
      </w:tr>
      <w:tr w:rsidR="006E6312" w:rsidRPr="00DF5D3A" w14:paraId="28898BAB" w14:textId="77777777" w:rsidTr="006E6312">
        <w:trPr>
          <w:trHeight w:val="862"/>
        </w:trPr>
        <w:tc>
          <w:tcPr>
            <w:tcW w:w="935" w:type="dxa"/>
            <w:vMerge/>
          </w:tcPr>
          <w:p w14:paraId="08947E9B" w14:textId="77777777" w:rsidR="00DF5D3A" w:rsidRPr="00DF5D3A" w:rsidRDefault="00DF5D3A" w:rsidP="00AF0142">
            <w:pPr>
              <w:jc w:val="both"/>
            </w:pPr>
          </w:p>
        </w:tc>
        <w:tc>
          <w:tcPr>
            <w:tcW w:w="1057" w:type="dxa"/>
          </w:tcPr>
          <w:p w14:paraId="43C9A433" w14:textId="77777777" w:rsidR="00DF5D3A" w:rsidRPr="00DF5D3A" w:rsidRDefault="00DF5D3A" w:rsidP="00AF0142">
            <w:pPr>
              <w:jc w:val="both"/>
            </w:pPr>
            <w:r w:rsidRPr="00DF5D3A">
              <w:t>Tranche Three</w:t>
            </w:r>
          </w:p>
        </w:tc>
        <w:tc>
          <w:tcPr>
            <w:tcW w:w="2818" w:type="dxa"/>
          </w:tcPr>
          <w:p w14:paraId="29AD1298" w14:textId="33074753" w:rsidR="00DF5D3A" w:rsidRPr="00DF5D3A" w:rsidRDefault="005A0C6D" w:rsidP="00AF0142">
            <w:pPr>
              <w:jc w:val="both"/>
            </w:pPr>
            <w:r w:rsidRPr="00DF5D3A">
              <w:rPr>
                <w:noProof/>
                <w:lang w:eastAsia="zh-CN"/>
              </w:rPr>
              <mc:AlternateContent>
                <mc:Choice Requires="wps">
                  <w:drawing>
                    <wp:anchor distT="0" distB="0" distL="114300" distR="114300" simplePos="0" relativeHeight="251672576" behindDoc="0" locked="0" layoutInCell="1" allowOverlap="1" wp14:anchorId="394807BB" wp14:editId="2F4F8B40">
                      <wp:simplePos x="0" y="0"/>
                      <wp:positionH relativeFrom="column">
                        <wp:posOffset>-41910</wp:posOffset>
                      </wp:positionH>
                      <wp:positionV relativeFrom="paragraph">
                        <wp:posOffset>23495</wp:posOffset>
                      </wp:positionV>
                      <wp:extent cx="889000" cy="482600"/>
                      <wp:effectExtent l="0" t="0" r="25400" b="12700"/>
                      <wp:wrapNone/>
                      <wp:docPr id="40" name="Rectangle: Rounded Corners 40"/>
                      <wp:cNvGraphicFramePr/>
                      <a:graphic xmlns:a="http://schemas.openxmlformats.org/drawingml/2006/main">
                        <a:graphicData uri="http://schemas.microsoft.com/office/word/2010/wordprocessingShape">
                          <wps:wsp>
                            <wps:cNvSpPr/>
                            <wps:spPr>
                              <a:xfrm>
                                <a:off x="0" y="0"/>
                                <a:ext cx="889000" cy="4826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A06D432" w14:textId="3669E241" w:rsidR="005A0C6D" w:rsidRDefault="005A0C6D" w:rsidP="005A0C6D">
                                  <w:pPr>
                                    <w:jc w:val="center"/>
                                  </w:pPr>
                                  <w:r>
                                    <w:t>15 Mins - LMS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807BB" id="Rectangle: Rounded Corners 40" o:spid="_x0000_s1028" style="position:absolute;left:0;text-align:left;margin-left:-3.3pt;margin-top:1.85pt;width:70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" fillcolor="#4472c4" strokecolor="#2f528f" strokeweight="1pt">
                      <v:stroke joinstyle="miter"/>
                      <v:textbox>
                        <w:txbxContent>
                          <w:p w14:paraId="3A06D432" w14:textId="3669E241" w:rsidR="005A0C6D" w:rsidRDefault="005A0C6D" w:rsidP="005A0C6D">
                            <w:pPr>
                              <w:jc w:val="center"/>
                            </w:pPr>
                            <w:r>
                              <w:t>15 Mins - LMS</w:t>
                            </w:r>
                          </w:p>
                        </w:txbxContent>
                      </v:textbox>
                    </v:roundrect>
                  </w:pict>
                </mc:Fallback>
              </mc:AlternateContent>
            </w:r>
            <w:r w:rsidR="006E6312" w:rsidRPr="00DF5D3A">
              <w:rPr>
                <w:noProof/>
                <w:lang w:eastAsia="zh-CN"/>
              </w:rPr>
              <mc:AlternateContent>
                <mc:Choice Requires="wps">
                  <w:drawing>
                    <wp:anchor distT="0" distB="0" distL="114300" distR="114300" simplePos="0" relativeHeight="251661312" behindDoc="0" locked="0" layoutInCell="1" allowOverlap="1" wp14:anchorId="35EBDA5B" wp14:editId="2F90B0BD">
                      <wp:simplePos x="0" y="0"/>
                      <wp:positionH relativeFrom="column">
                        <wp:posOffset>980440</wp:posOffset>
                      </wp:positionH>
                      <wp:positionV relativeFrom="paragraph">
                        <wp:posOffset>25400</wp:posOffset>
                      </wp:positionV>
                      <wp:extent cx="647700" cy="4953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647700" cy="495300"/>
                              </a:xfrm>
                              <a:prstGeom prst="roundRect">
                                <a:avLst/>
                              </a:prstGeom>
                              <a:solidFill>
                                <a:srgbClr val="70AD47">
                                  <a:lumMod val="60000"/>
                                  <a:lumOff val="40000"/>
                                </a:srgbClr>
                              </a:solidFill>
                              <a:ln w="12700" cap="flat" cmpd="sng" algn="ctr">
                                <a:solidFill>
                                  <a:srgbClr val="70AD47">
                                    <a:lumMod val="75000"/>
                                  </a:srgbClr>
                                </a:solidFill>
                                <a:prstDash val="solid"/>
                                <a:miter lim="800000"/>
                              </a:ln>
                              <a:effectLst/>
                            </wps:spPr>
                            <wps:txbx>
                              <w:txbxContent>
                                <w:p w14:paraId="6531C2A1" w14:textId="77777777" w:rsidR="00DF5D3A" w:rsidRDefault="00DF5D3A" w:rsidP="00DF5D3A">
                                  <w:pPr>
                                    <w:jc w:val="center"/>
                                  </w:pPr>
                                  <w:r>
                                    <w:t>5 Mins PCS PCS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BDA5B" id="Rectangle: Rounded Corners 4" o:spid="_x0000_s1029" style="position:absolute;left:0;text-align:left;margin-left:77.2pt;margin-top:2pt;width:51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" fillcolor="#a9d18e" strokecolor="#548235" strokeweight="1pt">
                      <v:stroke joinstyle="miter"/>
                      <v:textbox>
                        <w:txbxContent>
                          <w:p w14:paraId="6531C2A1" w14:textId="77777777" w:rsidR="00DF5D3A" w:rsidRDefault="00DF5D3A" w:rsidP="00DF5D3A">
                            <w:pPr>
                              <w:jc w:val="center"/>
                            </w:pPr>
                            <w:r>
                              <w:t>5 Mins PCS PCS</w:t>
                            </w:r>
                          </w:p>
                        </w:txbxContent>
                      </v:textbox>
                    </v:roundrect>
                  </w:pict>
                </mc:Fallback>
              </mc:AlternateContent>
            </w:r>
            <w:r w:rsidR="006E6312" w:rsidRPr="00DF5D3A">
              <w:rPr>
                <w:noProof/>
                <w:lang w:eastAsia="zh-CN"/>
              </w:rPr>
              <mc:AlternateContent>
                <mc:Choice Requires="wps">
                  <w:drawing>
                    <wp:anchor distT="45720" distB="45720" distL="114300" distR="114300" simplePos="0" relativeHeight="251662336" behindDoc="0" locked="0" layoutInCell="1" allowOverlap="1" wp14:anchorId="54287EC3" wp14:editId="286DEE0C">
                      <wp:simplePos x="0" y="0"/>
                      <wp:positionH relativeFrom="column">
                        <wp:posOffset>777240</wp:posOffset>
                      </wp:positionH>
                      <wp:positionV relativeFrom="paragraph">
                        <wp:posOffset>127000</wp:posOffset>
                      </wp:positionV>
                      <wp:extent cx="266700" cy="2895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89560"/>
                              </a:xfrm>
                              <a:prstGeom prst="rect">
                                <a:avLst/>
                              </a:prstGeom>
                              <a:noFill/>
                              <a:ln w="9525">
                                <a:noFill/>
                                <a:miter lim="800000"/>
                                <a:headEnd/>
                                <a:tailEnd/>
                              </a:ln>
                            </wps:spPr>
                            <wps:txbx>
                              <w:txbxContent>
                                <w:p w14:paraId="32684527" w14:textId="77777777" w:rsidR="00DF5D3A" w:rsidRDefault="00DF5D3A" w:rsidP="00DF5D3A">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87EC3" id="_x0000_t202" coordsize="21600,21600" o:spt="202" path="m,l,21600r21600,l21600,xe">
                      <v:stroke joinstyle="miter"/>
                      <v:path gradientshapeok="t" o:connecttype="rect"/>
                    </v:shapetype>
                    <v:shape id="Text Box 2" o:spid="_x0000_s1030" type="#_x0000_t202" style="position:absolute;left:0;text-align:left;margin-left:61.2pt;margin-top:10pt;width:21pt;height:2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" filled="f" stroked="f">
                      <v:textbox>
                        <w:txbxContent>
                          <w:p w14:paraId="32684527" w14:textId="77777777" w:rsidR="00DF5D3A" w:rsidRDefault="00DF5D3A" w:rsidP="00DF5D3A">
                            <w:r>
                              <w:t>+</w:t>
                            </w:r>
                          </w:p>
                        </w:txbxContent>
                      </v:textbox>
                      <w10:wrap type="square"/>
                    </v:shape>
                  </w:pict>
                </mc:Fallback>
              </mc:AlternateContent>
            </w:r>
          </w:p>
        </w:tc>
        <w:tc>
          <w:tcPr>
            <w:tcW w:w="1065" w:type="dxa"/>
            <w:shd w:val="clear" w:color="auto" w:fill="BDD6EE" w:themeFill="accent5" w:themeFillTint="66"/>
          </w:tcPr>
          <w:p w14:paraId="6FAF116E" w14:textId="77777777" w:rsidR="00DF5D3A" w:rsidRPr="00DF5D3A" w:rsidRDefault="00DF5D3A" w:rsidP="00AF0142">
            <w:pPr>
              <w:jc w:val="both"/>
            </w:pPr>
            <w:r w:rsidRPr="00DF5D3A">
              <w:rPr>
                <w:rFonts w:ascii="Segoe UI Emoji" w:hAnsi="Segoe UI Emoji" w:cs="Segoe UI Emoji"/>
                <w:sz w:val="16"/>
              </w:rPr>
              <w:t>✔(PCS Questions Only)</w:t>
            </w:r>
          </w:p>
        </w:tc>
        <w:tc>
          <w:tcPr>
            <w:tcW w:w="1067" w:type="dxa"/>
            <w:shd w:val="clear" w:color="auto" w:fill="E2EFD9" w:themeFill="accent6" w:themeFillTint="33"/>
          </w:tcPr>
          <w:p w14:paraId="2A3C9C5A" w14:textId="77777777" w:rsidR="00DF5D3A" w:rsidRPr="00DF5D3A" w:rsidRDefault="00DF5D3A" w:rsidP="00AF0142">
            <w:pPr>
              <w:jc w:val="both"/>
              <w:rPr>
                <w:rFonts w:ascii="Segoe UI Emoji" w:hAnsi="Segoe UI Emoji" w:cs="Segoe UI Emoji"/>
                <w:sz w:val="20"/>
              </w:rPr>
            </w:pPr>
          </w:p>
          <w:p w14:paraId="7246F80B" w14:textId="77777777" w:rsidR="00DF5D3A" w:rsidRPr="00DF5D3A" w:rsidRDefault="00DF5D3A" w:rsidP="00AF0142">
            <w:pPr>
              <w:jc w:val="both"/>
            </w:pPr>
            <w:r w:rsidRPr="00DF5D3A">
              <w:rPr>
                <w:rFonts w:ascii="Segoe UI Emoji" w:hAnsi="Segoe UI Emoji" w:cs="Segoe UI Emoji"/>
                <w:sz w:val="20"/>
              </w:rPr>
              <w:t>✔</w:t>
            </w:r>
          </w:p>
        </w:tc>
        <w:tc>
          <w:tcPr>
            <w:tcW w:w="854" w:type="dxa"/>
            <w:shd w:val="clear" w:color="auto" w:fill="BDD6EE" w:themeFill="accent5" w:themeFillTint="66"/>
          </w:tcPr>
          <w:p w14:paraId="27A6A58C" w14:textId="77777777" w:rsidR="00DF5D3A" w:rsidRPr="00DF5D3A" w:rsidRDefault="00DF5D3A" w:rsidP="00AF0142">
            <w:pPr>
              <w:jc w:val="both"/>
            </w:pPr>
            <w:r w:rsidRPr="00DF5D3A">
              <w:rPr>
                <w:rFonts w:ascii="Segoe UI Emoji" w:hAnsi="Segoe UI Emoji" w:cs="Segoe UI Emoji"/>
                <w:sz w:val="16"/>
              </w:rPr>
              <w:t>✔</w:t>
            </w:r>
            <w:r w:rsidRPr="00DF5D3A">
              <w:rPr>
                <w:sz w:val="16"/>
              </w:rPr>
              <w:t>(PCS Questions Only)</w:t>
            </w:r>
          </w:p>
        </w:tc>
        <w:tc>
          <w:tcPr>
            <w:tcW w:w="1058" w:type="dxa"/>
            <w:shd w:val="clear" w:color="auto" w:fill="E2EFD9" w:themeFill="accent6" w:themeFillTint="33"/>
          </w:tcPr>
          <w:p w14:paraId="3F29C6E6" w14:textId="77777777" w:rsidR="00DF5D3A" w:rsidRPr="00DF5D3A" w:rsidRDefault="00DF5D3A" w:rsidP="00AF0142">
            <w:pPr>
              <w:jc w:val="both"/>
              <w:rPr>
                <w:rFonts w:ascii="Segoe UI Emoji" w:hAnsi="Segoe UI Emoji" w:cs="Segoe UI Emoji"/>
                <w:sz w:val="20"/>
              </w:rPr>
            </w:pPr>
          </w:p>
          <w:p w14:paraId="40C033A1" w14:textId="77777777" w:rsidR="00DF5D3A" w:rsidRPr="00DF5D3A" w:rsidRDefault="00DF5D3A" w:rsidP="00AF0142">
            <w:pPr>
              <w:jc w:val="both"/>
            </w:pPr>
            <w:r w:rsidRPr="00DF5D3A">
              <w:rPr>
                <w:rFonts w:ascii="Segoe UI Emoji" w:hAnsi="Segoe UI Emoji" w:cs="Segoe UI Emoji"/>
                <w:sz w:val="20"/>
              </w:rPr>
              <w:t>✔</w:t>
            </w:r>
          </w:p>
        </w:tc>
      </w:tr>
      <w:tr w:rsidR="00DF5D3A" w:rsidRPr="00DF5D3A" w14:paraId="5D459E39" w14:textId="77777777" w:rsidTr="006E6312">
        <w:trPr>
          <w:trHeight w:val="208"/>
        </w:trPr>
        <w:tc>
          <w:tcPr>
            <w:tcW w:w="4811" w:type="dxa"/>
            <w:gridSpan w:val="3"/>
            <w:shd w:val="clear" w:color="auto" w:fill="BDD6EE" w:themeFill="accent5" w:themeFillTint="66"/>
          </w:tcPr>
          <w:p w14:paraId="3FBFF357" w14:textId="77777777" w:rsidR="00DF5D3A" w:rsidRPr="00DF5D3A" w:rsidRDefault="00DF5D3A" w:rsidP="00AF0142">
            <w:pPr>
              <w:jc w:val="both"/>
              <w:rPr>
                <w:noProof/>
              </w:rPr>
            </w:pPr>
            <w:r w:rsidRPr="00DF5D3A">
              <w:rPr>
                <w:noProof/>
              </w:rPr>
              <w:t>Run by Ipsos Mori</w:t>
            </w:r>
          </w:p>
        </w:tc>
        <w:tc>
          <w:tcPr>
            <w:tcW w:w="4046" w:type="dxa"/>
            <w:gridSpan w:val="4"/>
            <w:shd w:val="clear" w:color="auto" w:fill="E2EFD9" w:themeFill="accent6" w:themeFillTint="33"/>
          </w:tcPr>
          <w:p w14:paraId="41E730BD" w14:textId="77777777" w:rsidR="00DF5D3A" w:rsidRPr="00DF5D3A" w:rsidRDefault="00DF5D3A" w:rsidP="00AF0142">
            <w:pPr>
              <w:jc w:val="both"/>
              <w:rPr>
                <w:rFonts w:ascii="Segoe UI Emoji" w:hAnsi="Segoe UI Emoji" w:cs="Segoe UI Emoji"/>
                <w:sz w:val="20"/>
              </w:rPr>
            </w:pPr>
            <w:r w:rsidRPr="00DF5D3A">
              <w:rPr>
                <w:rFonts w:ascii="Segoe UI Emoji" w:hAnsi="Segoe UI Emoji" w:cs="Segoe UI Emoji"/>
                <w:sz w:val="20"/>
              </w:rPr>
              <w:t>Run by ONS</w:t>
            </w:r>
          </w:p>
        </w:tc>
      </w:tr>
    </w:tbl>
    <w:p w14:paraId="1B6EABEB" w14:textId="77777777" w:rsidR="006E6312" w:rsidRDefault="006E6312" w:rsidP="00AF0142">
      <w:pPr>
        <w:jc w:val="both"/>
        <w:rPr>
          <w:i/>
        </w:rPr>
      </w:pPr>
    </w:p>
    <w:p w14:paraId="60263076" w14:textId="77777777" w:rsidR="00D46A65" w:rsidRDefault="00D46A65" w:rsidP="00AF0142">
      <w:pPr>
        <w:jc w:val="both"/>
        <w:rPr>
          <w:i/>
        </w:rPr>
      </w:pPr>
    </w:p>
    <w:p w14:paraId="492CB1BA" w14:textId="3BB6CDAE" w:rsidR="006E6312" w:rsidRPr="006664D1" w:rsidRDefault="00073260" w:rsidP="00AF0142">
      <w:pPr>
        <w:jc w:val="both"/>
      </w:pPr>
      <w:r>
        <w:rPr>
          <w:i/>
        </w:rPr>
        <w:t>Table</w:t>
      </w:r>
      <w:r w:rsidR="006E6312" w:rsidRPr="00D93BCC">
        <w:rPr>
          <w:i/>
        </w:rPr>
        <w:t xml:space="preserve"> 3</w:t>
      </w:r>
      <w:r w:rsidR="006E6312">
        <w:t xml:space="preserve"> shows the PCS alone achieved the highest take up rate (67.6%). This </w:t>
      </w:r>
      <w:r w:rsidR="00F73A69">
        <w:t>may be</w:t>
      </w:r>
      <w:r w:rsidR="006E6312">
        <w:t xml:space="preserve"> due to the shorter questionnaire length. However,</w:t>
      </w:r>
      <w:r w:rsidR="00F73A69">
        <w:t xml:space="preserve"> a longer fieldwork period and</w:t>
      </w:r>
      <w:r w:rsidR="006E6312">
        <w:t xml:space="preserve"> different </w:t>
      </w:r>
      <w:r w:rsidR="00F73A69">
        <w:t>agencies collecting the data</w:t>
      </w:r>
      <w:r w:rsidR="006E6312">
        <w:t xml:space="preserve"> may also have contributed.  It also shows that integrating the LMS and PCS reduces the take up rate by around 10%. </w:t>
      </w:r>
      <w:r w:rsidR="00F73A69">
        <w:t>T</w:t>
      </w:r>
      <w:r w:rsidR="005A0C6D">
        <w:t xml:space="preserve">he integrated survey achieved </w:t>
      </w:r>
      <w:r w:rsidR="006E6312">
        <w:t xml:space="preserve">a lower partial rate </w:t>
      </w:r>
      <w:r w:rsidR="005A0C6D">
        <w:t>compared to the PCS alone</w:t>
      </w:r>
      <w:r w:rsidR="0031491B">
        <w:t>, a partial being defined as a household who did not fully complete the survey</w:t>
      </w:r>
      <w:r w:rsidR="006E6312">
        <w:t>.</w:t>
      </w:r>
      <w:r w:rsidR="005A0C6D">
        <w:t xml:space="preserve"> The integrated questionnaire used in these experiments was not put through the rigorous research and cognitive testing process that the LMS alone underwent. With pr</w:t>
      </w:r>
      <w:r w:rsidR="002516AB">
        <w:t>oper research and testing it is</w:t>
      </w:r>
      <w:r w:rsidR="005A0C6D">
        <w:t xml:space="preserve"> t</w:t>
      </w:r>
      <w:r w:rsidR="002516AB">
        <w:t>hought this gap can be</w:t>
      </w:r>
      <w:r w:rsidR="005A0C6D">
        <w:t xml:space="preserve"> reduced.</w:t>
      </w:r>
      <w:r w:rsidR="00C94F51">
        <w:t xml:space="preserve"> Detailed cognitive testing of PCS questions is currently progressing and recommendations to improve questions will follow. </w:t>
      </w:r>
      <w:r w:rsidR="005A0C6D">
        <w:t>The results of the</w:t>
      </w:r>
      <w:r w:rsidR="00C94F51">
        <w:t xml:space="preserve"> 2017 test</w:t>
      </w:r>
      <w:r w:rsidR="005A0C6D">
        <w:t xml:space="preserve"> were taken as positive support to continue with the development of </w:t>
      </w:r>
      <w:r w:rsidR="006E6312" w:rsidRPr="006664D1">
        <w:t xml:space="preserve">an </w:t>
      </w:r>
      <w:r w:rsidR="00F77E7A">
        <w:t>IPACS</w:t>
      </w:r>
      <w:r w:rsidR="006E6312" w:rsidRPr="006664D1">
        <w:t>.</w:t>
      </w:r>
    </w:p>
    <w:p w14:paraId="5CF3B74B" w14:textId="23ACE34D" w:rsidR="003B49F6" w:rsidRPr="003B49F6" w:rsidRDefault="00073260" w:rsidP="00AF0142">
      <w:pPr>
        <w:jc w:val="both"/>
        <w:rPr>
          <w:i/>
        </w:rPr>
      </w:pPr>
      <w:r>
        <w:rPr>
          <w:i/>
        </w:rPr>
        <w:t>Table</w:t>
      </w:r>
      <w:r w:rsidR="003B49F6">
        <w:rPr>
          <w:i/>
        </w:rPr>
        <w:t xml:space="preserve"> 3: Take up rates for the LMS, PCS and</w:t>
      </w:r>
      <w:r w:rsidR="003B49F6" w:rsidRPr="003B49F6">
        <w:rPr>
          <w:i/>
        </w:rPr>
        <w:t xml:space="preserve"> </w:t>
      </w:r>
      <w:r w:rsidR="00B12FD7">
        <w:rPr>
          <w:i/>
        </w:rPr>
        <w:t>I</w:t>
      </w:r>
      <w:r w:rsidR="003B49F6" w:rsidRPr="003B49F6">
        <w:rPr>
          <w:i/>
        </w:rPr>
        <w:t xml:space="preserve">ntegrated </w:t>
      </w:r>
      <w:r w:rsidR="00B12FD7">
        <w:rPr>
          <w:i/>
        </w:rPr>
        <w:t>S</w:t>
      </w:r>
      <w:r w:rsidR="003B49F6" w:rsidRPr="003B49F6">
        <w:rPr>
          <w:i/>
        </w:rPr>
        <w:t>urvey</w:t>
      </w:r>
      <w:r w:rsidR="00B12FD7">
        <w:rPr>
          <w:i/>
        </w:rPr>
        <w:t xml:space="preserve"> </w:t>
      </w:r>
    </w:p>
    <w:tbl>
      <w:tblPr>
        <w:tblStyle w:val="TableGrid"/>
        <w:tblW w:w="0" w:type="auto"/>
        <w:tblLook w:val="04A0" w:firstRow="1" w:lastRow="0" w:firstColumn="1" w:lastColumn="0" w:noHBand="0" w:noVBand="1"/>
      </w:tblPr>
      <w:tblGrid>
        <w:gridCol w:w="3496"/>
        <w:gridCol w:w="3496"/>
      </w:tblGrid>
      <w:tr w:rsidR="003B49F6" w14:paraId="7100B6E8" w14:textId="77777777" w:rsidTr="003B49F6">
        <w:trPr>
          <w:trHeight w:val="279"/>
        </w:trPr>
        <w:tc>
          <w:tcPr>
            <w:tcW w:w="3496" w:type="dxa"/>
          </w:tcPr>
          <w:p w14:paraId="7E1A8E9D" w14:textId="1EBFEE8E" w:rsidR="003B49F6" w:rsidRPr="003B49F6" w:rsidRDefault="003B49F6" w:rsidP="00AF0142">
            <w:pPr>
              <w:jc w:val="both"/>
              <w:rPr>
                <w:b/>
              </w:rPr>
            </w:pPr>
            <w:r w:rsidRPr="003B49F6">
              <w:rPr>
                <w:b/>
              </w:rPr>
              <w:t>Tranche</w:t>
            </w:r>
          </w:p>
        </w:tc>
        <w:tc>
          <w:tcPr>
            <w:tcW w:w="3496" w:type="dxa"/>
          </w:tcPr>
          <w:p w14:paraId="5BDE0F60" w14:textId="4FB1B658" w:rsidR="003B49F6" w:rsidRPr="003B49F6" w:rsidRDefault="003B49F6" w:rsidP="00AF0142">
            <w:pPr>
              <w:jc w:val="both"/>
              <w:rPr>
                <w:b/>
              </w:rPr>
            </w:pPr>
            <w:r w:rsidRPr="003B49F6">
              <w:rPr>
                <w:b/>
              </w:rPr>
              <w:t>Take up rate</w:t>
            </w:r>
            <w:r>
              <w:rPr>
                <w:b/>
              </w:rPr>
              <w:t xml:space="preserve"> (%)</w:t>
            </w:r>
          </w:p>
        </w:tc>
      </w:tr>
      <w:tr w:rsidR="003B49F6" w14:paraId="38F07562" w14:textId="77777777" w:rsidTr="003B49F6">
        <w:trPr>
          <w:trHeight w:val="279"/>
        </w:trPr>
        <w:tc>
          <w:tcPr>
            <w:tcW w:w="3496" w:type="dxa"/>
          </w:tcPr>
          <w:p w14:paraId="4375C4BD" w14:textId="787EBA2C" w:rsidR="003B49F6" w:rsidRDefault="003B49F6" w:rsidP="00AF0142">
            <w:pPr>
              <w:jc w:val="both"/>
            </w:pPr>
            <w:r>
              <w:lastRenderedPageBreak/>
              <w:t xml:space="preserve">1 – LMS </w:t>
            </w:r>
            <w:r w:rsidR="00DF5D3A">
              <w:t>(online only)</w:t>
            </w:r>
          </w:p>
        </w:tc>
        <w:tc>
          <w:tcPr>
            <w:tcW w:w="3496" w:type="dxa"/>
          </w:tcPr>
          <w:p w14:paraId="18095437" w14:textId="61ABF88F" w:rsidR="003B49F6" w:rsidRDefault="003B49F6" w:rsidP="00AF0142">
            <w:pPr>
              <w:jc w:val="both"/>
            </w:pPr>
            <w:r>
              <w:t>22.5</w:t>
            </w:r>
          </w:p>
        </w:tc>
      </w:tr>
      <w:tr w:rsidR="003B49F6" w14:paraId="16C59EAF" w14:textId="77777777" w:rsidTr="003B49F6">
        <w:trPr>
          <w:trHeight w:val="279"/>
        </w:trPr>
        <w:tc>
          <w:tcPr>
            <w:tcW w:w="3496" w:type="dxa"/>
          </w:tcPr>
          <w:p w14:paraId="7BD3FB4D" w14:textId="0358D7F5" w:rsidR="003B49F6" w:rsidRDefault="003B49F6" w:rsidP="00AF0142">
            <w:pPr>
              <w:jc w:val="both"/>
            </w:pPr>
            <w:r>
              <w:t>2 –</w:t>
            </w:r>
            <w:r w:rsidR="00DF5D3A">
              <w:t xml:space="preserve"> PCS</w:t>
            </w:r>
          </w:p>
        </w:tc>
        <w:tc>
          <w:tcPr>
            <w:tcW w:w="3496" w:type="dxa"/>
          </w:tcPr>
          <w:p w14:paraId="0E5CBCDA" w14:textId="6AF3454F" w:rsidR="003B49F6" w:rsidRDefault="003B49F6" w:rsidP="00AF0142">
            <w:pPr>
              <w:jc w:val="both"/>
            </w:pPr>
            <w:r>
              <w:t>67.6</w:t>
            </w:r>
          </w:p>
        </w:tc>
      </w:tr>
      <w:tr w:rsidR="003B49F6" w14:paraId="6171D084" w14:textId="77777777" w:rsidTr="003B49F6">
        <w:trPr>
          <w:trHeight w:val="269"/>
        </w:trPr>
        <w:tc>
          <w:tcPr>
            <w:tcW w:w="3496" w:type="dxa"/>
          </w:tcPr>
          <w:p w14:paraId="36656ED9" w14:textId="38DB99D6" w:rsidR="003B49F6" w:rsidRDefault="003B49F6" w:rsidP="00AF0142">
            <w:pPr>
              <w:jc w:val="both"/>
            </w:pPr>
            <w:r>
              <w:t>3 –</w:t>
            </w:r>
            <w:r w:rsidR="00DF5D3A">
              <w:t xml:space="preserve"> LMS and PCS</w:t>
            </w:r>
          </w:p>
        </w:tc>
        <w:tc>
          <w:tcPr>
            <w:tcW w:w="3496" w:type="dxa"/>
          </w:tcPr>
          <w:p w14:paraId="6C5A5B6A" w14:textId="0CB0E44D" w:rsidR="003B49F6" w:rsidRDefault="003B49F6" w:rsidP="00AF0142">
            <w:pPr>
              <w:jc w:val="both"/>
            </w:pPr>
            <w:r>
              <w:t>56.8</w:t>
            </w:r>
          </w:p>
        </w:tc>
      </w:tr>
    </w:tbl>
    <w:p w14:paraId="0F7D68EC" w14:textId="7DF94AC3" w:rsidR="007B697F" w:rsidRDefault="007B697F" w:rsidP="00AF0142">
      <w:pPr>
        <w:jc w:val="both"/>
      </w:pPr>
    </w:p>
    <w:p w14:paraId="00A5D562" w14:textId="77777777" w:rsidR="005C018A" w:rsidRPr="006664D1" w:rsidRDefault="005C018A" w:rsidP="00AF0142">
      <w:pPr>
        <w:pStyle w:val="Heading3"/>
        <w:jc w:val="both"/>
        <w:rPr>
          <w:rFonts w:asciiTheme="minorHAnsi" w:hAnsiTheme="minorHAnsi"/>
        </w:rPr>
      </w:pPr>
      <w:r w:rsidRPr="006664D1">
        <w:rPr>
          <w:rFonts w:asciiTheme="minorHAnsi" w:hAnsiTheme="minorHAnsi"/>
        </w:rPr>
        <w:t>2018</w:t>
      </w:r>
    </w:p>
    <w:p w14:paraId="74F7B038" w14:textId="77777777" w:rsidR="005C018A" w:rsidRPr="006664D1" w:rsidRDefault="005C018A" w:rsidP="00AF0142">
      <w:pPr>
        <w:jc w:val="both"/>
      </w:pPr>
      <w:r w:rsidRPr="006664D1">
        <w:t>In October 2018 ONS commissioned Ipsos MORI to conduct a furt</w:t>
      </w:r>
      <w:r>
        <w:t>her test of an integrated labour market and population coverage s</w:t>
      </w:r>
      <w:r w:rsidRPr="006664D1">
        <w:t>urvey.  This was a mixed mode (online and face-to-face) test administered to a sample of 14,149 households across Great Britain. The aim was to investigate the mixed mode uptake rate, the responding sample composition and any response bias that may arise.</w:t>
      </w:r>
      <w:r>
        <w:t xml:space="preserve">  Data collection is complete, and analysis of the data will commence imminently.  </w:t>
      </w:r>
      <w:r w:rsidRPr="006664D1">
        <w:t xml:space="preserve">Comparisons will be made between key employment variables collected on both the LMS and LFS at a national level.  This will provide evidence towards the quality of the data collection from the integrated survey approach. In addition to these aims, the </w:t>
      </w:r>
      <w:r>
        <w:t>analysis of the test</w:t>
      </w:r>
      <w:r w:rsidRPr="006664D1">
        <w:t xml:space="preserve"> will provide evidence on whether the survey can provide sufficient information to support an admin data population estimation system. The aim is to use the data collected to test methods for estimating population at the national level for five-year age-groups. </w:t>
      </w:r>
      <w:r>
        <w:t xml:space="preserve">In addition to the core sample, 3,000 further households have been added to the 14149, in addresses where the admin data suggests that an international migrant is resident. Flag 4 registrations (an indicator of migration to UK) on the NHS Personal Demographic Service have been used to select addresses where migrant families have registered during 2018. . This is part of early testing to determine whether a boost to increase the coverage of international migrants in the sample can help support future international migration statistics.  </w:t>
      </w:r>
    </w:p>
    <w:p w14:paraId="2FD3B62C" w14:textId="500FAABF" w:rsidR="00DB5A33" w:rsidRPr="006664D1" w:rsidRDefault="004A3C46" w:rsidP="00AF0142">
      <w:pPr>
        <w:pStyle w:val="Heading3"/>
        <w:jc w:val="both"/>
        <w:rPr>
          <w:rFonts w:asciiTheme="minorHAnsi" w:hAnsiTheme="minorHAnsi"/>
        </w:rPr>
      </w:pPr>
      <w:r w:rsidRPr="006664D1">
        <w:rPr>
          <w:rFonts w:asciiTheme="minorHAnsi" w:hAnsiTheme="minorHAnsi"/>
        </w:rPr>
        <w:t>2019</w:t>
      </w:r>
      <w:r w:rsidR="00D334AE" w:rsidRPr="006664D1">
        <w:rPr>
          <w:rFonts w:asciiTheme="minorHAnsi" w:hAnsiTheme="minorHAnsi"/>
        </w:rPr>
        <w:t xml:space="preserve"> </w:t>
      </w:r>
    </w:p>
    <w:p w14:paraId="585BDCAC" w14:textId="369064A5" w:rsidR="00D334AE" w:rsidRPr="006664D1" w:rsidRDefault="00D334AE" w:rsidP="00AF0142">
      <w:pPr>
        <w:jc w:val="both"/>
      </w:pPr>
      <w:r w:rsidRPr="006664D1">
        <w:t xml:space="preserve">Tests to date have demonstrated that, in principle, we can integrate surveys to </w:t>
      </w:r>
      <w:r w:rsidR="007334BE" w:rsidRPr="006664D1">
        <w:t>satisfy</w:t>
      </w:r>
      <w:r w:rsidRPr="006664D1">
        <w:t xml:space="preserve"> both social and population data collection</w:t>
      </w:r>
      <w:r w:rsidR="007334BE" w:rsidRPr="006664D1">
        <w:t xml:space="preserve"> requirements without having detrimental effects on </w:t>
      </w:r>
      <w:r w:rsidR="00D97705">
        <w:t xml:space="preserve">the </w:t>
      </w:r>
      <w:r w:rsidR="00D97705" w:rsidRPr="006664D1">
        <w:t xml:space="preserve">response rate </w:t>
      </w:r>
      <w:r w:rsidR="00D97705">
        <w:t xml:space="preserve">of </w:t>
      </w:r>
      <w:r w:rsidR="007334BE" w:rsidRPr="006664D1">
        <w:t>either</w:t>
      </w:r>
      <w:r w:rsidRPr="006664D1">
        <w:t>.</w:t>
      </w:r>
      <w:r w:rsidR="007334BE" w:rsidRPr="006664D1">
        <w:t xml:space="preserve"> However, this is just the start of a longer-term research and testing strategy for the development of an </w:t>
      </w:r>
      <w:r w:rsidR="00F77E7A">
        <w:t>IPACS</w:t>
      </w:r>
      <w:r w:rsidR="007334BE" w:rsidRPr="006664D1">
        <w:t>. In par</w:t>
      </w:r>
      <w:r w:rsidR="009F23CB" w:rsidRPr="006664D1">
        <w:t>ticular, research and testing are</w:t>
      </w:r>
      <w:r w:rsidR="007334BE" w:rsidRPr="006664D1">
        <w:t xml:space="preserve"> required to explore </w:t>
      </w:r>
      <w:r w:rsidR="007E11BA" w:rsidRPr="006664D1">
        <w:t xml:space="preserve">the </w:t>
      </w:r>
      <w:r w:rsidRPr="006664D1">
        <w:t>quality</w:t>
      </w:r>
      <w:r w:rsidR="007E11BA" w:rsidRPr="006664D1">
        <w:t xml:space="preserve"> of </w:t>
      </w:r>
      <w:r w:rsidR="007334BE" w:rsidRPr="006664D1">
        <w:t xml:space="preserve">data </w:t>
      </w:r>
      <w:r w:rsidR="009F23CB" w:rsidRPr="006664D1">
        <w:t xml:space="preserve">we obtain </w:t>
      </w:r>
      <w:r w:rsidR="007334BE" w:rsidRPr="006664D1">
        <w:t xml:space="preserve">from </w:t>
      </w:r>
      <w:r w:rsidR="009F23CB" w:rsidRPr="006664D1">
        <w:t>an integrated survey</w:t>
      </w:r>
      <w:r w:rsidRPr="006664D1">
        <w:t xml:space="preserve">, </w:t>
      </w:r>
      <w:r w:rsidR="007E11BA" w:rsidRPr="006664D1">
        <w:t xml:space="preserve">the optimal </w:t>
      </w:r>
      <w:r w:rsidRPr="006664D1">
        <w:t>design</w:t>
      </w:r>
      <w:r w:rsidR="009F23CB" w:rsidRPr="006664D1">
        <w:t xml:space="preserve"> for an integrated survey</w:t>
      </w:r>
      <w:r w:rsidR="007334BE" w:rsidRPr="006664D1">
        <w:t xml:space="preserve"> </w:t>
      </w:r>
      <w:r w:rsidR="007E11BA" w:rsidRPr="006664D1">
        <w:t xml:space="preserve">and </w:t>
      </w:r>
      <w:r w:rsidR="007334BE" w:rsidRPr="006664D1">
        <w:t xml:space="preserve">how best to </w:t>
      </w:r>
      <w:r w:rsidR="009F23CB" w:rsidRPr="006664D1">
        <w:t>build</w:t>
      </w:r>
      <w:r w:rsidR="007E11BA" w:rsidRPr="006664D1">
        <w:t xml:space="preserve"> </w:t>
      </w:r>
      <w:r w:rsidR="009F23CB" w:rsidRPr="006664D1">
        <w:t xml:space="preserve">on </w:t>
      </w:r>
      <w:r w:rsidR="007E11BA" w:rsidRPr="006664D1">
        <w:t xml:space="preserve">the </w:t>
      </w:r>
      <w:r w:rsidR="009F23CB" w:rsidRPr="006664D1">
        <w:t>integrated survey</w:t>
      </w:r>
      <w:r w:rsidR="007E11BA" w:rsidRPr="006664D1">
        <w:t xml:space="preserve"> </w:t>
      </w:r>
      <w:r w:rsidR="009F23CB" w:rsidRPr="006664D1">
        <w:t xml:space="preserve">prototype </w:t>
      </w:r>
      <w:r w:rsidR="007E11BA" w:rsidRPr="006664D1">
        <w:t>to</w:t>
      </w:r>
      <w:r w:rsidR="007334BE" w:rsidRPr="006664D1">
        <w:t xml:space="preserve"> </w:t>
      </w:r>
      <w:r w:rsidR="00C239DE">
        <w:t>the scale</w:t>
      </w:r>
      <w:r w:rsidR="007334BE" w:rsidRPr="006664D1">
        <w:t xml:space="preserve"> </w:t>
      </w:r>
      <w:r w:rsidR="009F23CB" w:rsidRPr="006664D1">
        <w:t>that will satisfy wider</w:t>
      </w:r>
      <w:r w:rsidR="007E11BA" w:rsidRPr="006664D1">
        <w:t xml:space="preserve"> residual social and population survey requirements. </w:t>
      </w:r>
      <w:r w:rsidRPr="006664D1">
        <w:t xml:space="preserve">  </w:t>
      </w:r>
    </w:p>
    <w:p w14:paraId="4E6F66B8" w14:textId="0CB777BC" w:rsidR="00B3604A" w:rsidRPr="006664D1" w:rsidRDefault="00664124" w:rsidP="00AF0142">
      <w:pPr>
        <w:jc w:val="both"/>
      </w:pPr>
      <w:r w:rsidRPr="006664D1">
        <w:t>A further test, launched in April 2019, is exploring online uptake and attrition rates a</w:t>
      </w:r>
      <w:r w:rsidR="00673A62">
        <w:t>cross 3 waves of an integrated labour market and population coverage s</w:t>
      </w:r>
      <w:r w:rsidRPr="006664D1">
        <w:t>urvey. It will test the efficacy of different between</w:t>
      </w:r>
      <w:r w:rsidR="001F6313">
        <w:t>-</w:t>
      </w:r>
      <w:r w:rsidRPr="006664D1">
        <w:t>wave engagement strategies, incentivisation at Waves 2 and 3, and the effect these have on attrition rates across waves.</w:t>
      </w:r>
      <w:r w:rsidR="001F7159">
        <w:t xml:space="preserve">  This test will be completed by December 2019.</w:t>
      </w:r>
    </w:p>
    <w:p w14:paraId="6E6C68EC" w14:textId="5022AA76" w:rsidR="00B423CB" w:rsidRDefault="00474120" w:rsidP="00AF0142">
      <w:pPr>
        <w:jc w:val="both"/>
      </w:pPr>
      <w:r w:rsidRPr="006664D1">
        <w:t>A large</w:t>
      </w:r>
      <w:r w:rsidR="00496039" w:rsidRPr="006664D1">
        <w:t>r</w:t>
      </w:r>
      <w:r w:rsidRPr="006664D1">
        <w:t xml:space="preserve"> scal</w:t>
      </w:r>
      <w:r w:rsidR="00496039" w:rsidRPr="006664D1">
        <w:t xml:space="preserve">e </w:t>
      </w:r>
      <w:r w:rsidRPr="006664D1">
        <w:t xml:space="preserve">test is also planned for 2020. This will be a multi-mode, multi wave test on a larger scale </w:t>
      </w:r>
      <w:r w:rsidR="001F7159">
        <w:t>which builds upon the statistical and operational learning from all previous tests.  The cu</w:t>
      </w:r>
      <w:r w:rsidR="00275019">
        <w:t>rrent proposal is for this test</w:t>
      </w:r>
      <w:r w:rsidR="001F7159">
        <w:t xml:space="preserve"> to iteratively build towards a large scale parallel run, which will then become the </w:t>
      </w:r>
      <w:r w:rsidR="00F77E7A">
        <w:t>IPACS</w:t>
      </w:r>
      <w:r w:rsidR="001F7159">
        <w:t xml:space="preserve"> and result in the decommissioning of the existing LFS.</w:t>
      </w:r>
    </w:p>
    <w:p w14:paraId="6A31A9C5" w14:textId="12412C2E" w:rsidR="00105200" w:rsidRPr="00105200" w:rsidRDefault="00105200" w:rsidP="00105200">
      <w:pPr>
        <w:pStyle w:val="Heading1"/>
        <w:ind w:left="720" w:hanging="720"/>
        <w:jc w:val="both"/>
        <w:rPr>
          <w:rFonts w:asciiTheme="minorHAnsi" w:hAnsiTheme="minorHAnsi"/>
        </w:rPr>
      </w:pPr>
      <w:r>
        <w:rPr>
          <w:rFonts w:asciiTheme="minorHAnsi" w:hAnsiTheme="minorHAnsi"/>
        </w:rPr>
        <w:t>4.0</w:t>
      </w:r>
      <w:r>
        <w:rPr>
          <w:rFonts w:asciiTheme="minorHAnsi" w:hAnsiTheme="minorHAnsi"/>
        </w:rPr>
        <w:tab/>
      </w:r>
      <w:r w:rsidR="00896E8C" w:rsidRPr="006664D1">
        <w:rPr>
          <w:rFonts w:asciiTheme="minorHAnsi" w:hAnsiTheme="minorHAnsi"/>
        </w:rPr>
        <w:t xml:space="preserve">Key methodological considerations underpinning an </w:t>
      </w:r>
      <w:r w:rsidR="00F77E7A">
        <w:rPr>
          <w:rFonts w:asciiTheme="minorHAnsi" w:hAnsiTheme="minorHAnsi"/>
        </w:rPr>
        <w:t>Integrated Population and Characteristics Survey</w:t>
      </w:r>
      <w:r w:rsidR="00673A62">
        <w:rPr>
          <w:rFonts w:asciiTheme="minorHAnsi" w:hAnsiTheme="minorHAnsi"/>
        </w:rPr>
        <w:t xml:space="preserve"> (</w:t>
      </w:r>
      <w:r w:rsidR="00F77E7A">
        <w:rPr>
          <w:rFonts w:asciiTheme="minorHAnsi" w:hAnsiTheme="minorHAnsi"/>
        </w:rPr>
        <w:t>IPACS</w:t>
      </w:r>
      <w:r w:rsidR="00673A62">
        <w:rPr>
          <w:rFonts w:asciiTheme="minorHAnsi" w:hAnsiTheme="minorHAnsi"/>
        </w:rPr>
        <w:t>)</w:t>
      </w:r>
    </w:p>
    <w:p w14:paraId="0081666F" w14:textId="77777777" w:rsidR="002516AB" w:rsidRPr="002516AB" w:rsidRDefault="002516AB" w:rsidP="00AF0142">
      <w:pPr>
        <w:jc w:val="both"/>
      </w:pPr>
    </w:p>
    <w:p w14:paraId="6ACAB0F9" w14:textId="6DDFA2E2" w:rsidR="006F1A52" w:rsidRPr="006F1A52" w:rsidRDefault="00105200" w:rsidP="00AF0142">
      <w:pPr>
        <w:jc w:val="both"/>
        <w:rPr>
          <w:color w:val="4472C4" w:themeColor="accent1"/>
          <w:sz w:val="28"/>
          <w:szCs w:val="28"/>
        </w:rPr>
      </w:pPr>
      <w:r>
        <w:rPr>
          <w:color w:val="4472C4" w:themeColor="accent1"/>
          <w:sz w:val="28"/>
          <w:szCs w:val="28"/>
        </w:rPr>
        <w:t>4.1</w:t>
      </w:r>
      <w:r>
        <w:rPr>
          <w:color w:val="4472C4" w:themeColor="accent1"/>
          <w:sz w:val="28"/>
          <w:szCs w:val="28"/>
        </w:rPr>
        <w:tab/>
      </w:r>
      <w:r w:rsidR="006F1A52" w:rsidRPr="006F1A52">
        <w:rPr>
          <w:color w:val="4472C4" w:themeColor="accent1"/>
          <w:sz w:val="28"/>
          <w:szCs w:val="28"/>
        </w:rPr>
        <w:t>Sample Design</w:t>
      </w:r>
    </w:p>
    <w:p w14:paraId="3A246E60" w14:textId="77777777" w:rsidR="007307E2" w:rsidRDefault="007307E2" w:rsidP="00AF0142">
      <w:pPr>
        <w:jc w:val="both"/>
      </w:pPr>
      <w:r>
        <w:lastRenderedPageBreak/>
        <w:t xml:space="preserve">In preparation for the 2020 test, it is critical to establish a sample design that can meet both labour market and population coverage requirements. ONS has published research outputs on estimating population size using administrative data, highlighting that errors in coverage vary across geographic areas and age-sex groups. It is assumed therefore that a stratified design, similar to hard-to-count concepts used in the Census, will be required to optimise the allocation of sample to estimate population size. </w:t>
      </w:r>
    </w:p>
    <w:p w14:paraId="22AB3125" w14:textId="77777777" w:rsidR="007307E2" w:rsidRDefault="007307E2" w:rsidP="00AF0142">
      <w:pPr>
        <w:jc w:val="both"/>
      </w:pPr>
      <w:r>
        <w:t>While stratification may improve the accuracy of LMS outputs if the stratifier is correlated with labour market variables, we have not yet defined the overall targets on which to optimise a multi-purpose survey. For the 2020 test, we have made the decision to design a sample for population estimation and are in the processing of researching what the design effects might be on labour market statistics, which are currently produced from a random systematic sample.</w:t>
      </w:r>
    </w:p>
    <w:p w14:paraId="5072C9DA" w14:textId="77777777" w:rsidR="007307E2" w:rsidRDefault="003A14AD" w:rsidP="00AF0142">
      <w:pPr>
        <w:jc w:val="both"/>
      </w:pPr>
      <w:r>
        <w:t xml:space="preserve">ONS have started working with University of Southampton on a proposed sample design for the 2020 test, with the aim of producing an estimate of population size at national level, with precision +/- 1%. </w:t>
      </w:r>
    </w:p>
    <w:p w14:paraId="4B313B0E" w14:textId="1C890ADF" w:rsidR="003A14AD" w:rsidRDefault="003A14AD" w:rsidP="00AF0142">
      <w:pPr>
        <w:jc w:val="both"/>
      </w:pPr>
      <w:r>
        <w:t xml:space="preserve">This is considerably </w:t>
      </w:r>
      <w:r w:rsidR="001201A2">
        <w:t xml:space="preserve">less precise </w:t>
      </w:r>
      <w:r>
        <w:t xml:space="preserve">than the anticipated </w:t>
      </w:r>
      <w:r w:rsidR="001201A2">
        <w:t xml:space="preserve">requirement </w:t>
      </w:r>
      <w:r>
        <w:t xml:space="preserve">from 2022 onwards, however limiting the test </w:t>
      </w:r>
      <w:r w:rsidR="001201A2">
        <w:t xml:space="preserve">objective </w:t>
      </w:r>
      <w:r>
        <w:t xml:space="preserve">to a national level </w:t>
      </w:r>
      <w:r w:rsidR="001201A2">
        <w:t xml:space="preserve">precision </w:t>
      </w:r>
      <w:r>
        <w:t>reduce</w:t>
      </w:r>
      <w:r w:rsidR="001201A2">
        <w:t>s the</w:t>
      </w:r>
      <w:r>
        <w:t xml:space="preserve"> sample size requirements in early testing. Over time, </w:t>
      </w:r>
      <w:r w:rsidR="001201A2">
        <w:t xml:space="preserve">samples will be designed to produce </w:t>
      </w:r>
      <w:r>
        <w:t xml:space="preserve">estimates for </w:t>
      </w:r>
      <w:r w:rsidR="001201A2">
        <w:t xml:space="preserve">more detailed </w:t>
      </w:r>
      <w:r>
        <w:t xml:space="preserve">geographies </w:t>
      </w:r>
      <w:r w:rsidR="001201A2">
        <w:t xml:space="preserve">with specified precision, </w:t>
      </w:r>
      <w:r>
        <w:t>as we increase operational capacity to conduct the survey on a bigger scale.</w:t>
      </w:r>
    </w:p>
    <w:p w14:paraId="370353F7" w14:textId="2D5DEF8D" w:rsidR="008C355C" w:rsidRPr="00BE2159" w:rsidRDefault="008C355C" w:rsidP="00AF0142">
      <w:pPr>
        <w:jc w:val="both"/>
      </w:pPr>
      <w:r w:rsidRPr="00BE2159">
        <w:t xml:space="preserve">A key difference in designing a coverage survey for admin data, is that stratification needs to take into account variation in both under-coverage and over-coverage. Non-registration (for example with GP’s or applying for National Insurance Numbers) and failures to de-register when leaving the UK result in both types of coverage errors occurring on the SPD.  By linking administrative data to the 2011 Census, we have explored variables that </w:t>
      </w:r>
      <w:r w:rsidR="001201A2" w:rsidRPr="00BE2159">
        <w:t>potential</w:t>
      </w:r>
      <w:r w:rsidR="001201A2">
        <w:t>ly</w:t>
      </w:r>
      <w:r w:rsidR="001201A2" w:rsidRPr="00BE2159">
        <w:t xml:space="preserve"> </w:t>
      </w:r>
      <w:r w:rsidRPr="00BE2159">
        <w:t xml:space="preserve">predict the prevalence of under-coverage and over-coverage at small area level (output areas) </w:t>
      </w:r>
      <w:r w:rsidR="001201A2">
        <w:t>i</w:t>
      </w:r>
      <w:r w:rsidR="001201A2" w:rsidRPr="00BE2159">
        <w:t xml:space="preserve">n </w:t>
      </w:r>
      <w:r w:rsidRPr="00BE2159">
        <w:t>the SPD.</w:t>
      </w:r>
    </w:p>
    <w:p w14:paraId="04CBFD9C" w14:textId="0A7782BB" w:rsidR="00BE2159" w:rsidRDefault="00BE2159" w:rsidP="00AF0142">
      <w:pPr>
        <w:jc w:val="both"/>
        <w:textAlignment w:val="baseline"/>
        <w:rPr>
          <w:rFonts w:eastAsiaTheme="minorEastAsia" w:cs="Arial"/>
          <w:lang w:eastAsia="en-GB"/>
        </w:rPr>
      </w:pPr>
      <w:r w:rsidRPr="00BE2159">
        <w:rPr>
          <w:rFonts w:eastAsiaTheme="minorEastAsia"/>
          <w:lang w:eastAsia="en-GB"/>
        </w:rPr>
        <w:t xml:space="preserve">For </w:t>
      </w:r>
      <w:r w:rsidRPr="00D561FA">
        <w:rPr>
          <w:rFonts w:eastAsiaTheme="minorEastAsia"/>
          <w:b/>
          <w:lang w:eastAsia="en-GB"/>
        </w:rPr>
        <w:t>over-coverage</w:t>
      </w:r>
      <w:r w:rsidRPr="00BE2159">
        <w:rPr>
          <w:rFonts w:eastAsiaTheme="minorEastAsia"/>
          <w:lang w:eastAsia="en-GB"/>
        </w:rPr>
        <w:t xml:space="preserve"> we have derived a variable based on the concept of address churn. This has been calculated by </w:t>
      </w:r>
      <w:r w:rsidRPr="00BE2159">
        <w:rPr>
          <w:rFonts w:eastAsiaTheme="minorEastAsia" w:cs="Arial"/>
          <w:lang w:eastAsia="en-GB"/>
        </w:rPr>
        <w:t xml:space="preserve">comparing multiple years (2014-2016) across SPDs and counting the people that move in and out of each </w:t>
      </w:r>
      <w:r w:rsidR="00C97805">
        <w:rPr>
          <w:rFonts w:eastAsiaTheme="minorEastAsia" w:cs="Arial"/>
          <w:lang w:eastAsia="en-GB"/>
        </w:rPr>
        <w:t>address</w:t>
      </w:r>
      <w:r w:rsidRPr="00BE2159">
        <w:rPr>
          <w:rFonts w:eastAsiaTheme="minorEastAsia" w:cs="Arial"/>
          <w:lang w:eastAsia="en-GB"/>
        </w:rPr>
        <w:t xml:space="preserve">. We then sum up the movers and leavers for each </w:t>
      </w:r>
      <w:r w:rsidR="00C97805">
        <w:rPr>
          <w:rFonts w:eastAsiaTheme="minorEastAsia" w:cs="Arial"/>
          <w:lang w:eastAsia="en-GB"/>
        </w:rPr>
        <w:t>address</w:t>
      </w:r>
      <w:r w:rsidRPr="00BE2159">
        <w:rPr>
          <w:rFonts w:eastAsiaTheme="minorEastAsia" w:cs="Arial"/>
          <w:lang w:eastAsia="en-GB"/>
        </w:rPr>
        <w:t xml:space="preserve"> and divide by the number of bedrooms and number of years included in the comparison. The ‘mean-churn’ indicator used as the basis of over-coverage stratification is calculated as the mean of all </w:t>
      </w:r>
      <w:r w:rsidR="00C97805">
        <w:rPr>
          <w:rFonts w:eastAsiaTheme="minorEastAsia" w:cs="Arial"/>
          <w:lang w:eastAsia="en-GB"/>
        </w:rPr>
        <w:t xml:space="preserve">address </w:t>
      </w:r>
      <w:r w:rsidRPr="00BE2159">
        <w:rPr>
          <w:rFonts w:eastAsiaTheme="minorEastAsia" w:cs="Arial"/>
          <w:lang w:eastAsia="en-GB"/>
        </w:rPr>
        <w:t>churn measures in each OA.</w:t>
      </w:r>
    </w:p>
    <w:p w14:paraId="4D2B0659" w14:textId="07BBCE5D" w:rsidR="003319C1" w:rsidRPr="003319C1" w:rsidRDefault="00BE2159" w:rsidP="00AF0142">
      <w:pPr>
        <w:jc w:val="both"/>
        <w:textAlignment w:val="baseline"/>
        <w:rPr>
          <w:rFonts w:eastAsiaTheme="minorEastAsia" w:hAnsi="Arial" w:cs="Arial"/>
          <w:lang w:eastAsia="en-GB"/>
        </w:rPr>
      </w:pPr>
      <w:r w:rsidRPr="003319C1">
        <w:rPr>
          <w:rFonts w:eastAsiaTheme="minorEastAsia" w:cs="Arial"/>
          <w:lang w:eastAsia="en-GB"/>
        </w:rPr>
        <w:t xml:space="preserve">For </w:t>
      </w:r>
      <w:r w:rsidRPr="00D561FA">
        <w:rPr>
          <w:rFonts w:eastAsiaTheme="minorEastAsia" w:cs="Arial"/>
          <w:b/>
          <w:lang w:eastAsia="en-GB"/>
        </w:rPr>
        <w:t>under-coverage</w:t>
      </w:r>
      <w:r w:rsidRPr="003319C1">
        <w:rPr>
          <w:rFonts w:eastAsiaTheme="minorEastAsia" w:cs="Arial"/>
          <w:lang w:eastAsia="en-GB"/>
        </w:rPr>
        <w:t xml:space="preserve"> we have derived a composite indicator using </w:t>
      </w:r>
      <w:r w:rsidR="00847AB3" w:rsidRPr="003319C1">
        <w:rPr>
          <w:rFonts w:eastAsiaTheme="minorEastAsia" w:cs="Arial"/>
          <w:lang w:eastAsia="en-GB"/>
        </w:rPr>
        <w:t>princip</w:t>
      </w:r>
      <w:r w:rsidR="00847AB3">
        <w:rPr>
          <w:rFonts w:eastAsiaTheme="minorEastAsia" w:cs="Arial"/>
          <w:lang w:eastAsia="en-GB"/>
        </w:rPr>
        <w:t>al</w:t>
      </w:r>
      <w:r w:rsidR="00847AB3" w:rsidRPr="003319C1">
        <w:rPr>
          <w:rFonts w:eastAsiaTheme="minorEastAsia" w:cs="Arial"/>
          <w:lang w:eastAsia="en-GB"/>
        </w:rPr>
        <w:t xml:space="preserve"> </w:t>
      </w:r>
      <w:r w:rsidRPr="003319C1">
        <w:rPr>
          <w:rFonts w:eastAsiaTheme="minorEastAsia" w:cs="Arial"/>
          <w:lang w:eastAsia="en-GB"/>
        </w:rPr>
        <w:t xml:space="preserve">components analysis. </w:t>
      </w:r>
      <w:r w:rsidR="003319C1" w:rsidRPr="003319C1">
        <w:rPr>
          <w:rFonts w:eastAsiaTheme="minorEastAsia" w:cs="Arial"/>
          <w:lang w:eastAsia="en-GB"/>
        </w:rPr>
        <w:t>This has been derived from three predictors;</w:t>
      </w:r>
      <w:r w:rsidR="003319C1" w:rsidRPr="003319C1">
        <w:rPr>
          <w:rFonts w:eastAsia="Times New Roman" w:cs="Times New Roman"/>
          <w:lang w:eastAsia="en-GB"/>
        </w:rPr>
        <w:t xml:space="preserve"> the </w:t>
      </w:r>
      <w:r w:rsidR="003319C1" w:rsidRPr="003319C1">
        <w:rPr>
          <w:rFonts w:eastAsiaTheme="minorEastAsia" w:hAnsi="Arial" w:cs="Arial"/>
          <w:lang w:eastAsia="en-GB"/>
        </w:rPr>
        <w:t>p</w:t>
      </w:r>
      <w:r w:rsidRPr="00BE2159">
        <w:rPr>
          <w:rFonts w:eastAsiaTheme="minorEastAsia" w:hAnsi="Arial" w:cs="Arial"/>
          <w:lang w:eastAsia="en-GB"/>
        </w:rPr>
        <w:t>roportion of non-white British pupils in each OA</w:t>
      </w:r>
      <w:r w:rsidR="003319C1" w:rsidRPr="003319C1">
        <w:rPr>
          <w:rFonts w:eastAsiaTheme="minorEastAsia" w:hAnsi="Arial" w:cs="Arial"/>
          <w:lang w:eastAsia="en-GB"/>
        </w:rPr>
        <w:t xml:space="preserve"> (from School Census data), p</w:t>
      </w:r>
      <w:r w:rsidRPr="00BE2159">
        <w:rPr>
          <w:rFonts w:eastAsiaTheme="minorEastAsia" w:hAnsi="Arial" w:cs="Arial"/>
          <w:lang w:eastAsia="en-GB"/>
        </w:rPr>
        <w:t>roportion of Flag 4</w:t>
      </w:r>
      <w:r w:rsidRPr="00BE2159">
        <w:rPr>
          <w:rFonts w:eastAsiaTheme="minorEastAsia" w:hAnsi="Arial" w:cs="Arial"/>
          <w:lang w:eastAsia="en-GB"/>
        </w:rPr>
        <w:t>’</w:t>
      </w:r>
      <w:r w:rsidRPr="00BE2159">
        <w:rPr>
          <w:rFonts w:eastAsiaTheme="minorEastAsia" w:hAnsi="Arial" w:cs="Arial"/>
          <w:lang w:eastAsia="en-GB"/>
        </w:rPr>
        <w:t xml:space="preserve">s (migrant indicator flags) </w:t>
      </w:r>
      <w:r w:rsidR="003319C1" w:rsidRPr="003319C1">
        <w:rPr>
          <w:rFonts w:eastAsiaTheme="minorEastAsia" w:hAnsi="Arial" w:cs="Arial"/>
          <w:lang w:eastAsia="en-GB"/>
        </w:rPr>
        <w:t xml:space="preserve">in each OA (from NHS </w:t>
      </w:r>
      <w:r w:rsidRPr="00BE2159">
        <w:rPr>
          <w:rFonts w:eastAsiaTheme="minorEastAsia" w:hAnsi="Arial" w:cs="Arial"/>
          <w:lang w:eastAsia="en-GB"/>
        </w:rPr>
        <w:t>Patient Register</w:t>
      </w:r>
      <w:r w:rsidR="003319C1" w:rsidRPr="003319C1">
        <w:rPr>
          <w:rFonts w:eastAsiaTheme="minorEastAsia" w:hAnsi="Arial" w:cs="Arial"/>
          <w:lang w:eastAsia="en-GB"/>
        </w:rPr>
        <w:t>), and proportion of males and females in the OA that have some evidence of interacting with administrative data, but have not been included on the SPD.</w:t>
      </w:r>
    </w:p>
    <w:p w14:paraId="67A01B88" w14:textId="608E47FE" w:rsidR="00BE2159" w:rsidRPr="00BE2159" w:rsidRDefault="003319C1" w:rsidP="00AF0142">
      <w:pPr>
        <w:jc w:val="both"/>
        <w:textAlignment w:val="baseline"/>
        <w:rPr>
          <w:rFonts w:eastAsia="Times New Roman" w:cs="Times New Roman"/>
          <w:lang w:eastAsia="en-GB"/>
        </w:rPr>
      </w:pPr>
      <w:r w:rsidRPr="003319C1">
        <w:rPr>
          <w:rFonts w:eastAsiaTheme="minorEastAsia" w:hAnsi="Arial" w:cs="Arial"/>
          <w:lang w:eastAsia="en-GB"/>
        </w:rPr>
        <w:t>Based on first iterations, the variation explained by these models using R</w:t>
      </w:r>
      <w:r w:rsidRPr="003319C1">
        <w:rPr>
          <w:rFonts w:eastAsiaTheme="minorEastAsia" w:hAnsi="Arial" w:cs="Arial"/>
          <w:vertAlign w:val="superscript"/>
          <w:lang w:eastAsia="en-GB"/>
        </w:rPr>
        <w:t>2</w:t>
      </w:r>
      <w:r w:rsidRPr="003319C1">
        <w:rPr>
          <w:rFonts w:eastAsiaTheme="minorEastAsia" w:hAnsi="Arial" w:cs="Arial"/>
          <w:lang w:eastAsia="en-GB"/>
        </w:rPr>
        <w:t xml:space="preserve"> values is 0.44 for the over-coverage measure, and 0.48 for under-coverage. This is similar to the reported level of variation </w:t>
      </w:r>
      <w:r w:rsidR="00956BBC" w:rsidRPr="003319C1">
        <w:rPr>
          <w:rFonts w:eastAsiaTheme="minorEastAsia" w:hAnsi="Arial" w:cs="Arial"/>
          <w:lang w:eastAsia="en-GB"/>
        </w:rPr>
        <w:t>(0.47)</w:t>
      </w:r>
      <w:r w:rsidR="00956BBC">
        <w:rPr>
          <w:rFonts w:eastAsiaTheme="minorEastAsia" w:hAnsi="Arial" w:cs="Arial"/>
          <w:lang w:eastAsia="en-GB"/>
        </w:rPr>
        <w:t xml:space="preserve"> </w:t>
      </w:r>
      <w:r w:rsidRPr="003319C1">
        <w:rPr>
          <w:rFonts w:eastAsiaTheme="minorEastAsia" w:hAnsi="Arial" w:cs="Arial"/>
          <w:lang w:eastAsia="en-GB"/>
        </w:rPr>
        <w:t xml:space="preserve">explained by the hard-to-count index used to model </w:t>
      </w:r>
      <w:r w:rsidR="00956BBC">
        <w:rPr>
          <w:rFonts w:eastAsiaTheme="minorEastAsia" w:hAnsi="Arial" w:cs="Arial"/>
          <w:lang w:eastAsia="en-GB"/>
        </w:rPr>
        <w:t>non-response to the 2011 Census (ONS, 2011).</w:t>
      </w:r>
    </w:p>
    <w:p w14:paraId="54D93A54" w14:textId="0CB483D0" w:rsidR="007307E2" w:rsidRDefault="007307E2" w:rsidP="00AF0142">
      <w:pPr>
        <w:jc w:val="both"/>
      </w:pPr>
      <w:r>
        <w:t>At this stage, our research suggests that over-coverage and under-coverage are not highly correlated, therefore separate stratification indices are needed within the design. The Dalenius -Hodges method has been used to determine the optimum number of strata for both the over-coverage and under-coverage measures. Initial analysis suggests that six strata are optimal for both measures, and these strata are proposed to be used in the designed of the 2020 test.</w:t>
      </w:r>
    </w:p>
    <w:p w14:paraId="0EF89EF7" w14:textId="12F5F920" w:rsidR="00D92221" w:rsidRDefault="00EA7DB8" w:rsidP="00AF0142">
      <w:pPr>
        <w:jc w:val="both"/>
      </w:pPr>
      <w:r>
        <w:lastRenderedPageBreak/>
        <w:t xml:space="preserve">Simulations are being developed to estimate the required sample sizes for each </w:t>
      </w:r>
      <w:r w:rsidR="00447000">
        <w:t>stratum</w:t>
      </w:r>
      <w:r w:rsidR="00D561FA">
        <w:t>. We have largely focused on over-coverage to date</w:t>
      </w:r>
      <w:r>
        <w:t xml:space="preserve">. The sample </w:t>
      </w:r>
      <w:r w:rsidR="00447000">
        <w:t xml:space="preserve">uses </w:t>
      </w:r>
      <w:r>
        <w:t xml:space="preserve">optimum allocation, which results in unequal </w:t>
      </w:r>
      <w:r w:rsidR="00447000">
        <w:t xml:space="preserve">slection probabilities </w:t>
      </w:r>
      <w:r w:rsidR="00D92221">
        <w:t xml:space="preserve">across strata. </w:t>
      </w:r>
      <w:r>
        <w:t xml:space="preserve">A two-stage stratified cluster design is proposed, with </w:t>
      </w:r>
      <w:r w:rsidR="00D92221">
        <w:t xml:space="preserve">OAs selected from each </w:t>
      </w:r>
      <w:r w:rsidR="00447000">
        <w:t xml:space="preserve">stratum </w:t>
      </w:r>
      <w:r w:rsidR="00D92221">
        <w:t>at random as the primary sampling unit. Within the selected</w:t>
      </w:r>
      <w:r w:rsidR="00447000" w:rsidRPr="00447000">
        <w:t xml:space="preserve"> </w:t>
      </w:r>
      <w:r w:rsidR="00447000">
        <w:t>OA’s</w:t>
      </w:r>
      <w:r w:rsidR="00D92221">
        <w:t xml:space="preserve">, a fixed number of households will be randomly selected to take part in the </w:t>
      </w:r>
      <w:r w:rsidR="00C97805">
        <w:t>survey</w:t>
      </w:r>
      <w:r w:rsidR="00D92221">
        <w:t xml:space="preserve">. </w:t>
      </w:r>
    </w:p>
    <w:p w14:paraId="416A8886" w14:textId="4F465812" w:rsidR="00D92221" w:rsidRPr="00D92221" w:rsidRDefault="00607F2B" w:rsidP="00AF0142">
      <w:pPr>
        <w:jc w:val="both"/>
      </w:pPr>
      <w:r>
        <w:t xml:space="preserve">Stratification of the sample </w:t>
      </w:r>
      <w:r w:rsidR="00D92221">
        <w:t>w</w:t>
      </w:r>
      <w:r>
        <w:t>ill have</w:t>
      </w:r>
      <w:r w:rsidR="00D92221">
        <w:t xml:space="preserve"> implications </w:t>
      </w:r>
      <w:r>
        <w:t>for the LMS:</w:t>
      </w:r>
    </w:p>
    <w:p w14:paraId="79A87F67" w14:textId="2A7D269B" w:rsidR="00607F2B" w:rsidRDefault="00607F2B" w:rsidP="00AF0142">
      <w:pPr>
        <w:pStyle w:val="ListParagraph"/>
        <w:numPr>
          <w:ilvl w:val="0"/>
          <w:numId w:val="16"/>
        </w:numPr>
        <w:jc w:val="both"/>
      </w:pPr>
      <w:r>
        <w:t xml:space="preserve">Having different sampling fractions </w:t>
      </w:r>
      <w:r w:rsidR="00D561FA">
        <w:t>across the strata</w:t>
      </w:r>
      <w:r w:rsidR="00D92221" w:rsidRPr="00D92221">
        <w:t xml:space="preserve"> leads to unequal design </w:t>
      </w:r>
      <w:r>
        <w:t>weights, reducing</w:t>
      </w:r>
      <w:r w:rsidR="00D92221" w:rsidRPr="00D92221">
        <w:t xml:space="preserve"> the effective size of the LMS sample compared with the current design of LFS where all sampled addresses have the same design weight.</w:t>
      </w:r>
    </w:p>
    <w:p w14:paraId="67E2361F" w14:textId="311E92D4" w:rsidR="00607F2B" w:rsidRDefault="00D92221" w:rsidP="00AF0142">
      <w:pPr>
        <w:pStyle w:val="ListParagraph"/>
        <w:numPr>
          <w:ilvl w:val="0"/>
          <w:numId w:val="16"/>
        </w:numPr>
        <w:jc w:val="both"/>
      </w:pPr>
      <w:r w:rsidRPr="00D92221">
        <w:t>Selecting the prima</w:t>
      </w:r>
      <w:r w:rsidR="00D561FA">
        <w:t>ry sampling units (OAs</w:t>
      </w:r>
      <w:r w:rsidRPr="00D92221">
        <w:t xml:space="preserve"> for PCS) using simple random sampling and then selecting a fixed number of cases in each OA leads to un</w:t>
      </w:r>
      <w:r w:rsidR="00D561FA">
        <w:t xml:space="preserve">equal weights within a stratum. This </w:t>
      </w:r>
      <w:r w:rsidRPr="00D92221">
        <w:t>reduces the effective size of the LMS sample.</w:t>
      </w:r>
      <w:r w:rsidR="00607F2B">
        <w:t xml:space="preserve">        </w:t>
      </w:r>
    </w:p>
    <w:p w14:paraId="1F6DA6A0" w14:textId="1B7C05CD" w:rsidR="00607F2B" w:rsidRDefault="00D92221" w:rsidP="00AF0142">
      <w:pPr>
        <w:pStyle w:val="ListParagraph"/>
        <w:numPr>
          <w:ilvl w:val="0"/>
          <w:numId w:val="16"/>
        </w:numPr>
        <w:jc w:val="both"/>
      </w:pPr>
      <w:r w:rsidRPr="00D92221">
        <w:t>Selecting OAs in the first stage of sampling, instead of</w:t>
      </w:r>
      <w:r w:rsidR="00D561FA">
        <w:t xml:space="preserve"> sampling addresses as </w:t>
      </w:r>
      <w:r w:rsidRPr="00D92221">
        <w:t>LFS</w:t>
      </w:r>
      <w:r w:rsidR="00D561FA">
        <w:t xml:space="preserve"> currently does</w:t>
      </w:r>
      <w:r w:rsidRPr="00D92221">
        <w:t xml:space="preserve">, will result in a reduction of the effective size of the LMS sample because of the effect of clustering. </w:t>
      </w:r>
    </w:p>
    <w:p w14:paraId="47B6C673" w14:textId="77777777" w:rsidR="00607F2B" w:rsidRDefault="00D92221" w:rsidP="00AF0142">
      <w:pPr>
        <w:pStyle w:val="ListParagraph"/>
        <w:numPr>
          <w:ilvl w:val="0"/>
          <w:numId w:val="16"/>
        </w:numPr>
        <w:jc w:val="both"/>
      </w:pPr>
      <w:r w:rsidRPr="00D92221">
        <w:t xml:space="preserve">The clustering effect increases linearly with the number of cases selected in each OA </w:t>
      </w:r>
    </w:p>
    <w:p w14:paraId="7A3B80B6" w14:textId="76B94D58" w:rsidR="00607F2B" w:rsidRDefault="00D92221" w:rsidP="00AF0142">
      <w:pPr>
        <w:pStyle w:val="ListParagraph"/>
        <w:numPr>
          <w:ilvl w:val="0"/>
          <w:numId w:val="16"/>
        </w:numPr>
        <w:jc w:val="both"/>
      </w:pPr>
      <w:r w:rsidRPr="00D92221">
        <w:t xml:space="preserve">The clustering effect </w:t>
      </w:r>
      <w:r w:rsidR="007B1142" w:rsidRPr="00D92221">
        <w:t>var</w:t>
      </w:r>
      <w:r w:rsidR="007B1142">
        <w:t>ies</w:t>
      </w:r>
      <w:r w:rsidR="007B1142" w:rsidRPr="00D92221">
        <w:t xml:space="preserve"> </w:t>
      </w:r>
      <w:r w:rsidRPr="00D92221">
        <w:t>between variables: variables with a h</w:t>
      </w:r>
      <w:r w:rsidR="00D561FA">
        <w:t>igher homogeneity within an OA (</w:t>
      </w:r>
      <w:r w:rsidRPr="00D92221">
        <w:t>eg ethnicity</w:t>
      </w:r>
      <w:r w:rsidR="00D561FA">
        <w:t>)</w:t>
      </w:r>
      <w:r w:rsidRPr="00D92221">
        <w:t>, have a higher clustering effect.</w:t>
      </w:r>
    </w:p>
    <w:p w14:paraId="0074647A" w14:textId="51AB6A6F" w:rsidR="00A1267B" w:rsidRDefault="00D92221" w:rsidP="00AF0142">
      <w:pPr>
        <w:pStyle w:val="ListParagraph"/>
        <w:numPr>
          <w:ilvl w:val="0"/>
          <w:numId w:val="16"/>
        </w:numPr>
        <w:jc w:val="both"/>
      </w:pPr>
      <w:r w:rsidRPr="00D92221">
        <w:t>The homogeneity coefficient of a variable can be estimated from data</w:t>
      </w:r>
    </w:p>
    <w:p w14:paraId="381F0030" w14:textId="77777777" w:rsidR="00105200" w:rsidRPr="00105200" w:rsidRDefault="00105200" w:rsidP="00105200">
      <w:pPr>
        <w:pStyle w:val="ListParagraph"/>
        <w:jc w:val="both"/>
      </w:pPr>
    </w:p>
    <w:p w14:paraId="14BC8642" w14:textId="30FCAEFA" w:rsidR="003D3E12" w:rsidRPr="009A21FB" w:rsidRDefault="00105200" w:rsidP="00AF0142">
      <w:pPr>
        <w:jc w:val="both"/>
        <w:rPr>
          <w:color w:val="4472C4" w:themeColor="accent1"/>
          <w:sz w:val="28"/>
          <w:szCs w:val="28"/>
        </w:rPr>
      </w:pPr>
      <w:r>
        <w:rPr>
          <w:color w:val="4472C4" w:themeColor="accent1"/>
          <w:sz w:val="28"/>
          <w:szCs w:val="28"/>
        </w:rPr>
        <w:t>4.2</w:t>
      </w:r>
      <w:r>
        <w:rPr>
          <w:color w:val="4472C4" w:themeColor="accent1"/>
          <w:sz w:val="28"/>
          <w:szCs w:val="28"/>
        </w:rPr>
        <w:tab/>
      </w:r>
      <w:r w:rsidR="003D3E12" w:rsidRPr="009A21FB">
        <w:rPr>
          <w:color w:val="4472C4" w:themeColor="accent1"/>
          <w:sz w:val="28"/>
          <w:szCs w:val="28"/>
        </w:rPr>
        <w:t>Simulations</w:t>
      </w:r>
    </w:p>
    <w:p w14:paraId="1F77550A" w14:textId="77777777" w:rsidR="003D3E12" w:rsidRPr="00D92221" w:rsidRDefault="003D3E12" w:rsidP="00AF0142">
      <w:pPr>
        <w:jc w:val="both"/>
      </w:pPr>
      <w:r w:rsidRPr="00D92221">
        <w:t>We assessed the combined effect of stratification and the sample design that is being considered for the 2020 PCS test by computing the design effect that results from weight variation.</w:t>
      </w:r>
    </w:p>
    <w:p w14:paraId="4782C236" w14:textId="1D55C7D5" w:rsidR="003D3E12" w:rsidRPr="00D92221" w:rsidRDefault="003D3E12" w:rsidP="00AF0142">
      <w:pPr>
        <w:jc w:val="both"/>
      </w:pPr>
      <w:r w:rsidRPr="00D92221">
        <w:t xml:space="preserve">The list of OAs is partitioned into 6 </w:t>
      </w:r>
      <w:r>
        <w:t xml:space="preserve">over-coverage </w:t>
      </w:r>
      <w:r w:rsidRPr="00D92221">
        <w:t xml:space="preserve">strata and the sample of OAs is allocated optimally for PCS use across the strata; </w:t>
      </w:r>
      <w:r>
        <w:t xml:space="preserve">the </w:t>
      </w:r>
      <w:r w:rsidRPr="00D92221">
        <w:t xml:space="preserve">sampling fractions </w:t>
      </w:r>
      <w:r>
        <w:t>relative to that in the first stratum are</w:t>
      </w:r>
      <w:r w:rsidRPr="00D92221">
        <w:t xml:space="preserve"> given i</w:t>
      </w:r>
      <w:r>
        <w:t xml:space="preserve">n </w:t>
      </w:r>
      <w:r w:rsidRPr="0061444D">
        <w:rPr>
          <w:i/>
        </w:rPr>
        <w:t>Table 4</w:t>
      </w:r>
      <w:r w:rsidRPr="00D92221">
        <w:t xml:space="preserve">. </w:t>
      </w:r>
      <w:r>
        <w:t>We can see that strata 2 and 3 are nearly equally sampled whereas stratum 6 is heavily sampled - its sampling fraction of OAs is six times higher than that in stratum 1.</w:t>
      </w:r>
    </w:p>
    <w:p w14:paraId="78D4AB26" w14:textId="7EE0081F" w:rsidR="003D3E12" w:rsidRPr="0061444D" w:rsidRDefault="003D3E12" w:rsidP="00AF0142">
      <w:pPr>
        <w:jc w:val="both"/>
        <w:rPr>
          <w:i/>
        </w:rPr>
      </w:pPr>
      <w:r>
        <w:t>Six different designs,</w:t>
      </w:r>
      <w:r w:rsidRPr="00D92221">
        <w:t xml:space="preserve"> vary</w:t>
      </w:r>
      <w:r>
        <w:t>ing</w:t>
      </w:r>
      <w:r w:rsidRPr="00D92221">
        <w:t xml:space="preserve"> in terms of the total number of selected OAs and the number of achieved </w:t>
      </w:r>
      <w:r>
        <w:t>cases</w:t>
      </w:r>
      <w:r w:rsidRPr="00D92221">
        <w:t xml:space="preserve"> per OA</w:t>
      </w:r>
      <w:r>
        <w:t>,</w:t>
      </w:r>
      <w:r w:rsidRPr="00D92221">
        <w:t xml:space="preserve"> were considered. The design effect values from weigh</w:t>
      </w:r>
      <w:r>
        <w:t xml:space="preserve">t variation are given in </w:t>
      </w:r>
      <w:r w:rsidRPr="0061444D">
        <w:rPr>
          <w:i/>
        </w:rPr>
        <w:t>Table 5</w:t>
      </w:r>
      <w:r w:rsidRPr="00D92221">
        <w:t>. The design effect</w:t>
      </w:r>
      <w:r>
        <w:t>s</w:t>
      </w:r>
      <w:r w:rsidRPr="00D92221">
        <w:t xml:space="preserve"> of the different designs </w:t>
      </w:r>
      <w:r>
        <w:t xml:space="preserve">are quite similar, </w:t>
      </w:r>
      <w:r w:rsidRPr="00D92221">
        <w:t>var</w:t>
      </w:r>
      <w:r>
        <w:t>ying only</w:t>
      </w:r>
      <w:r w:rsidR="00A96DD7">
        <w:t xml:space="preserve"> </w:t>
      </w:r>
      <w:r w:rsidRPr="00D92221">
        <w:t>between 1.</w:t>
      </w:r>
      <w:r>
        <w:t>27</w:t>
      </w:r>
      <w:r w:rsidRPr="00D92221">
        <w:t xml:space="preserve"> and 1.</w:t>
      </w:r>
      <w:r>
        <w:t>30.</w:t>
      </w:r>
      <w:r w:rsidRPr="00D92221">
        <w:t xml:space="preserve"> </w:t>
      </w:r>
    </w:p>
    <w:p w14:paraId="11B6CE03" w14:textId="6040F3EA" w:rsidR="003D3E12" w:rsidRPr="009A21FB" w:rsidRDefault="003D3E12" w:rsidP="00AF0142">
      <w:pPr>
        <w:jc w:val="both"/>
        <w:rPr>
          <w:i/>
        </w:rPr>
      </w:pPr>
      <w:r w:rsidRPr="009A21FB">
        <w:rPr>
          <w:i/>
        </w:rPr>
        <w:t>Table 4. Relative Sampling fractions across strata</w:t>
      </w:r>
    </w:p>
    <w:tbl>
      <w:tblPr>
        <w:tblW w:w="3140" w:type="dxa"/>
        <w:tblLook w:val="04A0" w:firstRow="1" w:lastRow="0" w:firstColumn="1" w:lastColumn="0" w:noHBand="0" w:noVBand="1"/>
      </w:tblPr>
      <w:tblGrid>
        <w:gridCol w:w="960"/>
        <w:gridCol w:w="957"/>
        <w:gridCol w:w="1223"/>
      </w:tblGrid>
      <w:tr w:rsidR="003D3E12" w:rsidRPr="00D3726C" w14:paraId="701768D9" w14:textId="77777777" w:rsidTr="001C2377">
        <w:trPr>
          <w:trHeight w:val="1164"/>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14:paraId="2D0A10A6"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Stratum</w:t>
            </w:r>
          </w:p>
        </w:tc>
        <w:tc>
          <w:tcPr>
            <w:tcW w:w="960" w:type="dxa"/>
            <w:tcBorders>
              <w:top w:val="single" w:sz="8" w:space="0" w:color="auto"/>
              <w:left w:val="nil"/>
              <w:bottom w:val="single" w:sz="8" w:space="0" w:color="auto"/>
              <w:right w:val="single" w:sz="8" w:space="0" w:color="auto"/>
            </w:tcBorders>
            <w:shd w:val="clear" w:color="auto" w:fill="auto"/>
            <w:hideMark/>
          </w:tcPr>
          <w:p w14:paraId="762D75AF"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 xml:space="preserve">Total No. of OAs </w:t>
            </w:r>
          </w:p>
        </w:tc>
        <w:tc>
          <w:tcPr>
            <w:tcW w:w="1220" w:type="dxa"/>
            <w:tcBorders>
              <w:top w:val="single" w:sz="8" w:space="0" w:color="auto"/>
              <w:left w:val="nil"/>
              <w:bottom w:val="single" w:sz="8" w:space="0" w:color="auto"/>
              <w:right w:val="single" w:sz="8" w:space="0" w:color="auto"/>
            </w:tcBorders>
            <w:shd w:val="clear" w:color="auto" w:fill="auto"/>
            <w:hideMark/>
          </w:tcPr>
          <w:p w14:paraId="4908C26B"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Relative Sample Proportion</w:t>
            </w:r>
            <w:r w:rsidRPr="00D3726C">
              <w:rPr>
                <w:rFonts w:ascii="Calibri" w:eastAsia="Times New Roman" w:hAnsi="Calibri" w:cs="Times New Roman"/>
                <w:color w:val="000000"/>
                <w:sz w:val="16"/>
                <w:szCs w:val="16"/>
                <w:lang w:eastAsia="en-GB"/>
              </w:rPr>
              <w:t> </w:t>
            </w:r>
          </w:p>
        </w:tc>
      </w:tr>
      <w:tr w:rsidR="003D3E12" w:rsidRPr="00D3726C" w14:paraId="3D3C8310" w14:textId="77777777" w:rsidTr="001C2377">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D1E2ED6"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1</w:t>
            </w:r>
          </w:p>
        </w:tc>
        <w:tc>
          <w:tcPr>
            <w:tcW w:w="960" w:type="dxa"/>
            <w:tcBorders>
              <w:top w:val="nil"/>
              <w:left w:val="nil"/>
              <w:bottom w:val="single" w:sz="8" w:space="0" w:color="auto"/>
              <w:right w:val="single" w:sz="8" w:space="0" w:color="auto"/>
            </w:tcBorders>
            <w:shd w:val="clear" w:color="auto" w:fill="auto"/>
            <w:vAlign w:val="center"/>
            <w:hideMark/>
          </w:tcPr>
          <w:p w14:paraId="19F7B810"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30854</w:t>
            </w:r>
          </w:p>
        </w:tc>
        <w:tc>
          <w:tcPr>
            <w:tcW w:w="1220" w:type="dxa"/>
            <w:tcBorders>
              <w:top w:val="nil"/>
              <w:left w:val="nil"/>
              <w:bottom w:val="single" w:sz="8" w:space="0" w:color="auto"/>
              <w:right w:val="single" w:sz="8" w:space="0" w:color="auto"/>
            </w:tcBorders>
            <w:shd w:val="clear" w:color="auto" w:fill="auto"/>
            <w:vAlign w:val="center"/>
            <w:hideMark/>
          </w:tcPr>
          <w:p w14:paraId="4F5CFC01"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1</w:t>
            </w:r>
          </w:p>
        </w:tc>
      </w:tr>
      <w:tr w:rsidR="003D3E12" w:rsidRPr="00D3726C" w14:paraId="53050E22" w14:textId="77777777" w:rsidTr="001C2377">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57CC857"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2</w:t>
            </w:r>
          </w:p>
        </w:tc>
        <w:tc>
          <w:tcPr>
            <w:tcW w:w="960" w:type="dxa"/>
            <w:tcBorders>
              <w:top w:val="nil"/>
              <w:left w:val="nil"/>
              <w:bottom w:val="single" w:sz="8" w:space="0" w:color="auto"/>
              <w:right w:val="single" w:sz="8" w:space="0" w:color="auto"/>
            </w:tcBorders>
            <w:shd w:val="clear" w:color="auto" w:fill="auto"/>
            <w:vAlign w:val="center"/>
            <w:hideMark/>
          </w:tcPr>
          <w:p w14:paraId="2F1E8F0B"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54014</w:t>
            </w:r>
          </w:p>
        </w:tc>
        <w:tc>
          <w:tcPr>
            <w:tcW w:w="1220" w:type="dxa"/>
            <w:tcBorders>
              <w:top w:val="nil"/>
              <w:left w:val="nil"/>
              <w:bottom w:val="single" w:sz="8" w:space="0" w:color="auto"/>
              <w:right w:val="single" w:sz="8" w:space="0" w:color="auto"/>
            </w:tcBorders>
            <w:shd w:val="clear" w:color="auto" w:fill="auto"/>
            <w:vAlign w:val="center"/>
            <w:hideMark/>
          </w:tcPr>
          <w:p w14:paraId="42625FE1"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1.08</w:t>
            </w:r>
          </w:p>
        </w:tc>
      </w:tr>
      <w:tr w:rsidR="003D3E12" w:rsidRPr="00D3726C" w14:paraId="75394DF0" w14:textId="77777777" w:rsidTr="001C2377">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3FC0E90"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3</w:t>
            </w:r>
          </w:p>
        </w:tc>
        <w:tc>
          <w:tcPr>
            <w:tcW w:w="960" w:type="dxa"/>
            <w:tcBorders>
              <w:top w:val="nil"/>
              <w:left w:val="nil"/>
              <w:bottom w:val="single" w:sz="8" w:space="0" w:color="auto"/>
              <w:right w:val="single" w:sz="8" w:space="0" w:color="auto"/>
            </w:tcBorders>
            <w:shd w:val="clear" w:color="auto" w:fill="auto"/>
            <w:vAlign w:val="center"/>
            <w:hideMark/>
          </w:tcPr>
          <w:p w14:paraId="77C7667A"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38261</w:t>
            </w:r>
          </w:p>
        </w:tc>
        <w:tc>
          <w:tcPr>
            <w:tcW w:w="1220" w:type="dxa"/>
            <w:tcBorders>
              <w:top w:val="nil"/>
              <w:left w:val="nil"/>
              <w:bottom w:val="single" w:sz="8" w:space="0" w:color="auto"/>
              <w:right w:val="single" w:sz="8" w:space="0" w:color="auto"/>
            </w:tcBorders>
            <w:shd w:val="clear" w:color="auto" w:fill="auto"/>
            <w:vAlign w:val="center"/>
            <w:hideMark/>
          </w:tcPr>
          <w:p w14:paraId="37B3510E"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1.09</w:t>
            </w:r>
          </w:p>
        </w:tc>
      </w:tr>
      <w:tr w:rsidR="003D3E12" w:rsidRPr="00D3726C" w14:paraId="3BA6E569" w14:textId="77777777" w:rsidTr="001C2377">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26FF7CF"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4</w:t>
            </w:r>
          </w:p>
        </w:tc>
        <w:tc>
          <w:tcPr>
            <w:tcW w:w="960" w:type="dxa"/>
            <w:tcBorders>
              <w:top w:val="nil"/>
              <w:left w:val="nil"/>
              <w:bottom w:val="single" w:sz="8" w:space="0" w:color="auto"/>
              <w:right w:val="single" w:sz="8" w:space="0" w:color="auto"/>
            </w:tcBorders>
            <w:shd w:val="clear" w:color="auto" w:fill="auto"/>
            <w:vAlign w:val="center"/>
            <w:hideMark/>
          </w:tcPr>
          <w:p w14:paraId="0C82915A"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31595</w:t>
            </w:r>
          </w:p>
        </w:tc>
        <w:tc>
          <w:tcPr>
            <w:tcW w:w="1220" w:type="dxa"/>
            <w:tcBorders>
              <w:top w:val="nil"/>
              <w:left w:val="nil"/>
              <w:bottom w:val="single" w:sz="8" w:space="0" w:color="auto"/>
              <w:right w:val="single" w:sz="8" w:space="0" w:color="auto"/>
            </w:tcBorders>
            <w:shd w:val="clear" w:color="auto" w:fill="auto"/>
            <w:vAlign w:val="center"/>
            <w:hideMark/>
          </w:tcPr>
          <w:p w14:paraId="080ED24F"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1.61</w:t>
            </w:r>
          </w:p>
        </w:tc>
      </w:tr>
      <w:tr w:rsidR="003D3E12" w:rsidRPr="00D3726C" w14:paraId="3B87214E" w14:textId="77777777" w:rsidTr="001C2377">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CBBB647"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5</w:t>
            </w:r>
          </w:p>
        </w:tc>
        <w:tc>
          <w:tcPr>
            <w:tcW w:w="960" w:type="dxa"/>
            <w:tcBorders>
              <w:top w:val="nil"/>
              <w:left w:val="nil"/>
              <w:bottom w:val="single" w:sz="8" w:space="0" w:color="auto"/>
              <w:right w:val="single" w:sz="8" w:space="0" w:color="auto"/>
            </w:tcBorders>
            <w:shd w:val="clear" w:color="auto" w:fill="auto"/>
            <w:vAlign w:val="center"/>
            <w:hideMark/>
          </w:tcPr>
          <w:p w14:paraId="184C8010"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19622</w:t>
            </w:r>
          </w:p>
        </w:tc>
        <w:tc>
          <w:tcPr>
            <w:tcW w:w="1220" w:type="dxa"/>
            <w:tcBorders>
              <w:top w:val="nil"/>
              <w:left w:val="nil"/>
              <w:bottom w:val="single" w:sz="8" w:space="0" w:color="auto"/>
              <w:right w:val="single" w:sz="8" w:space="0" w:color="auto"/>
            </w:tcBorders>
            <w:shd w:val="clear" w:color="auto" w:fill="auto"/>
            <w:vAlign w:val="center"/>
            <w:hideMark/>
          </w:tcPr>
          <w:p w14:paraId="49D9971D"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2.37</w:t>
            </w:r>
          </w:p>
        </w:tc>
      </w:tr>
      <w:tr w:rsidR="003D3E12" w:rsidRPr="00D3726C" w14:paraId="4F17A23A" w14:textId="77777777" w:rsidTr="001C2377">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158B25"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6</w:t>
            </w:r>
          </w:p>
        </w:tc>
        <w:tc>
          <w:tcPr>
            <w:tcW w:w="960" w:type="dxa"/>
            <w:tcBorders>
              <w:top w:val="nil"/>
              <w:left w:val="nil"/>
              <w:bottom w:val="single" w:sz="8" w:space="0" w:color="auto"/>
              <w:right w:val="single" w:sz="8" w:space="0" w:color="auto"/>
            </w:tcBorders>
            <w:shd w:val="clear" w:color="auto" w:fill="auto"/>
            <w:vAlign w:val="center"/>
            <w:hideMark/>
          </w:tcPr>
          <w:p w14:paraId="3787F42B"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6923</w:t>
            </w:r>
          </w:p>
        </w:tc>
        <w:tc>
          <w:tcPr>
            <w:tcW w:w="1220" w:type="dxa"/>
            <w:tcBorders>
              <w:top w:val="nil"/>
              <w:left w:val="nil"/>
              <w:bottom w:val="single" w:sz="8" w:space="0" w:color="auto"/>
              <w:right w:val="single" w:sz="8" w:space="0" w:color="auto"/>
            </w:tcBorders>
            <w:shd w:val="clear" w:color="auto" w:fill="auto"/>
            <w:vAlign w:val="center"/>
            <w:hideMark/>
          </w:tcPr>
          <w:p w14:paraId="75AED468" w14:textId="77777777" w:rsidR="003D3E12" w:rsidRPr="00D3726C" w:rsidRDefault="003D3E12" w:rsidP="00AF0142">
            <w:pPr>
              <w:spacing w:after="0" w:line="240" w:lineRule="auto"/>
              <w:jc w:val="both"/>
              <w:rPr>
                <w:rFonts w:ascii="Calibri" w:eastAsia="Times New Roman" w:hAnsi="Calibri" w:cs="Times New Roman"/>
                <w:color w:val="000000"/>
                <w:lang w:eastAsia="en-GB"/>
              </w:rPr>
            </w:pPr>
            <w:r w:rsidRPr="00D3726C">
              <w:rPr>
                <w:rFonts w:ascii="Calibri" w:eastAsia="Times New Roman" w:hAnsi="Calibri" w:cs="Times New Roman"/>
                <w:color w:val="000000"/>
                <w:lang w:eastAsia="en-GB"/>
              </w:rPr>
              <w:t>6</w:t>
            </w:r>
          </w:p>
        </w:tc>
      </w:tr>
    </w:tbl>
    <w:p w14:paraId="532E5783" w14:textId="6EFD5D5B" w:rsidR="00B12FD7" w:rsidRDefault="00B12FD7">
      <w:pPr>
        <w:rPr>
          <w:i/>
        </w:rPr>
      </w:pPr>
    </w:p>
    <w:p w14:paraId="7BA781E5" w14:textId="5108A1A7" w:rsidR="003D3E12" w:rsidRPr="009A21FB" w:rsidRDefault="003D3E12" w:rsidP="00AF0142">
      <w:pPr>
        <w:jc w:val="both"/>
        <w:rPr>
          <w:i/>
        </w:rPr>
      </w:pPr>
      <w:r w:rsidRPr="009A21FB">
        <w:rPr>
          <w:i/>
        </w:rPr>
        <w:lastRenderedPageBreak/>
        <w:t>Table 5. Design effect from weight variation in proposed PCS test samples</w:t>
      </w:r>
    </w:p>
    <w:tbl>
      <w:tblPr>
        <w:tblW w:w="6800" w:type="dxa"/>
        <w:tblLook w:val="04A0" w:firstRow="1" w:lastRow="0" w:firstColumn="1" w:lastColumn="0" w:noHBand="0" w:noVBand="1"/>
      </w:tblPr>
      <w:tblGrid>
        <w:gridCol w:w="1640"/>
        <w:gridCol w:w="1640"/>
        <w:gridCol w:w="1640"/>
        <w:gridCol w:w="1880"/>
      </w:tblGrid>
      <w:tr w:rsidR="003D3E12" w:rsidRPr="00C411B3" w14:paraId="194887F1" w14:textId="77777777" w:rsidTr="001C2377">
        <w:trPr>
          <w:trHeight w:val="288"/>
        </w:trPr>
        <w:tc>
          <w:tcPr>
            <w:tcW w:w="1640" w:type="dxa"/>
            <w:tcBorders>
              <w:top w:val="single" w:sz="4" w:space="0" w:color="auto"/>
              <w:left w:val="nil"/>
              <w:bottom w:val="nil"/>
              <w:right w:val="nil"/>
            </w:tcBorders>
            <w:shd w:val="clear" w:color="auto" w:fill="auto"/>
            <w:noWrap/>
            <w:vAlign w:val="bottom"/>
            <w:hideMark/>
          </w:tcPr>
          <w:p w14:paraId="010B0AC1"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Design</w:t>
            </w:r>
          </w:p>
        </w:tc>
        <w:tc>
          <w:tcPr>
            <w:tcW w:w="1640" w:type="dxa"/>
            <w:vMerge w:val="restart"/>
            <w:tcBorders>
              <w:top w:val="single" w:sz="4" w:space="0" w:color="auto"/>
              <w:left w:val="nil"/>
              <w:bottom w:val="double" w:sz="6" w:space="0" w:color="000000"/>
              <w:right w:val="nil"/>
            </w:tcBorders>
            <w:shd w:val="clear" w:color="auto" w:fill="auto"/>
            <w:noWrap/>
            <w:vAlign w:val="bottom"/>
            <w:hideMark/>
          </w:tcPr>
          <w:p w14:paraId="1FA84D81"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Sample Size</w:t>
            </w:r>
          </w:p>
        </w:tc>
        <w:tc>
          <w:tcPr>
            <w:tcW w:w="1640" w:type="dxa"/>
            <w:vMerge w:val="restart"/>
            <w:tcBorders>
              <w:top w:val="single" w:sz="4" w:space="0" w:color="auto"/>
              <w:left w:val="nil"/>
              <w:bottom w:val="double" w:sz="6" w:space="0" w:color="000000"/>
              <w:right w:val="nil"/>
            </w:tcBorders>
            <w:shd w:val="clear" w:color="auto" w:fill="auto"/>
            <w:noWrap/>
            <w:vAlign w:val="bottom"/>
            <w:hideMark/>
          </w:tcPr>
          <w:p w14:paraId="16B21AF8"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Precision</w:t>
            </w:r>
          </w:p>
        </w:tc>
        <w:tc>
          <w:tcPr>
            <w:tcW w:w="1880" w:type="dxa"/>
            <w:vMerge w:val="restart"/>
            <w:tcBorders>
              <w:top w:val="single" w:sz="4" w:space="0" w:color="auto"/>
              <w:left w:val="nil"/>
              <w:bottom w:val="double" w:sz="6" w:space="0" w:color="000000"/>
              <w:right w:val="nil"/>
            </w:tcBorders>
            <w:shd w:val="clear" w:color="auto" w:fill="auto"/>
            <w:noWrap/>
            <w:vAlign w:val="bottom"/>
            <w:hideMark/>
          </w:tcPr>
          <w:p w14:paraId="49C1578D" w14:textId="252BAAB8"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Design</w:t>
            </w:r>
            <w:r w:rsidR="009E5875" w:rsidRPr="009E5875">
              <w:rPr>
                <w:rFonts w:ascii="Calibri" w:eastAsia="Times New Roman" w:hAnsi="Calibri" w:cs="Times New Roman"/>
                <w:color w:val="FFFFFF" w:themeColor="background1"/>
                <w:lang w:eastAsia="en-GB"/>
              </w:rPr>
              <w:t>,</w:t>
            </w:r>
            <w:r w:rsidRPr="00C411B3">
              <w:rPr>
                <w:rFonts w:ascii="Calibri" w:eastAsia="Times New Roman" w:hAnsi="Calibri" w:cs="Times New Roman"/>
                <w:color w:val="000000"/>
                <w:lang w:eastAsia="en-GB"/>
              </w:rPr>
              <w:t>effect (LMS)</w:t>
            </w:r>
          </w:p>
        </w:tc>
      </w:tr>
      <w:tr w:rsidR="003D3E12" w:rsidRPr="00C411B3" w14:paraId="56A6C9A4" w14:textId="77777777" w:rsidTr="001C2377">
        <w:trPr>
          <w:trHeight w:val="300"/>
        </w:trPr>
        <w:tc>
          <w:tcPr>
            <w:tcW w:w="1640" w:type="dxa"/>
            <w:tcBorders>
              <w:top w:val="nil"/>
              <w:left w:val="nil"/>
              <w:bottom w:val="double" w:sz="6" w:space="0" w:color="auto"/>
              <w:right w:val="nil"/>
            </w:tcBorders>
            <w:shd w:val="clear" w:color="auto" w:fill="auto"/>
            <w:noWrap/>
            <w:vAlign w:val="bottom"/>
            <w:hideMark/>
          </w:tcPr>
          <w:p w14:paraId="0E93DDE7"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(Cases, Clusters)</w:t>
            </w:r>
          </w:p>
        </w:tc>
        <w:tc>
          <w:tcPr>
            <w:tcW w:w="1640" w:type="dxa"/>
            <w:vMerge/>
            <w:tcBorders>
              <w:top w:val="single" w:sz="4" w:space="0" w:color="auto"/>
              <w:left w:val="nil"/>
              <w:bottom w:val="double" w:sz="6" w:space="0" w:color="000000"/>
              <w:right w:val="nil"/>
            </w:tcBorders>
            <w:vAlign w:val="center"/>
            <w:hideMark/>
          </w:tcPr>
          <w:p w14:paraId="59B4A6FB"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p>
        </w:tc>
        <w:tc>
          <w:tcPr>
            <w:tcW w:w="1640" w:type="dxa"/>
            <w:vMerge/>
            <w:tcBorders>
              <w:top w:val="single" w:sz="4" w:space="0" w:color="auto"/>
              <w:left w:val="nil"/>
              <w:bottom w:val="double" w:sz="6" w:space="0" w:color="000000"/>
              <w:right w:val="nil"/>
            </w:tcBorders>
            <w:vAlign w:val="center"/>
            <w:hideMark/>
          </w:tcPr>
          <w:p w14:paraId="0276D0A4"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p>
        </w:tc>
        <w:tc>
          <w:tcPr>
            <w:tcW w:w="1880" w:type="dxa"/>
            <w:vMerge/>
            <w:tcBorders>
              <w:top w:val="single" w:sz="4" w:space="0" w:color="auto"/>
              <w:left w:val="nil"/>
              <w:bottom w:val="double" w:sz="6" w:space="0" w:color="000000"/>
              <w:right w:val="nil"/>
            </w:tcBorders>
            <w:vAlign w:val="center"/>
            <w:hideMark/>
          </w:tcPr>
          <w:p w14:paraId="232ED4CF"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p>
        </w:tc>
      </w:tr>
      <w:tr w:rsidR="003D3E12" w:rsidRPr="00C411B3" w14:paraId="12DB2A44" w14:textId="77777777" w:rsidTr="001C2377">
        <w:trPr>
          <w:trHeight w:val="300"/>
        </w:trPr>
        <w:tc>
          <w:tcPr>
            <w:tcW w:w="1640" w:type="dxa"/>
            <w:tcBorders>
              <w:top w:val="nil"/>
              <w:left w:val="nil"/>
              <w:bottom w:val="nil"/>
              <w:right w:val="nil"/>
            </w:tcBorders>
            <w:shd w:val="clear" w:color="auto" w:fill="auto"/>
            <w:noWrap/>
            <w:vAlign w:val="bottom"/>
            <w:hideMark/>
          </w:tcPr>
          <w:p w14:paraId="57926B26"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(3, 1700)</w:t>
            </w:r>
          </w:p>
        </w:tc>
        <w:tc>
          <w:tcPr>
            <w:tcW w:w="1640" w:type="dxa"/>
            <w:tcBorders>
              <w:top w:val="nil"/>
              <w:left w:val="nil"/>
              <w:bottom w:val="nil"/>
              <w:right w:val="nil"/>
            </w:tcBorders>
            <w:shd w:val="clear" w:color="auto" w:fill="auto"/>
            <w:noWrap/>
            <w:vAlign w:val="bottom"/>
            <w:hideMark/>
          </w:tcPr>
          <w:p w14:paraId="27257117"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5,100</w:t>
            </w:r>
          </w:p>
        </w:tc>
        <w:tc>
          <w:tcPr>
            <w:tcW w:w="1640" w:type="dxa"/>
            <w:tcBorders>
              <w:top w:val="nil"/>
              <w:left w:val="nil"/>
              <w:bottom w:val="nil"/>
              <w:right w:val="nil"/>
            </w:tcBorders>
            <w:shd w:val="clear" w:color="auto" w:fill="auto"/>
            <w:noWrap/>
            <w:vAlign w:val="bottom"/>
            <w:hideMark/>
          </w:tcPr>
          <w:p w14:paraId="6270427D"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0.99%</w:t>
            </w:r>
          </w:p>
        </w:tc>
        <w:tc>
          <w:tcPr>
            <w:tcW w:w="1880" w:type="dxa"/>
            <w:tcBorders>
              <w:top w:val="nil"/>
              <w:left w:val="nil"/>
              <w:bottom w:val="nil"/>
              <w:right w:val="nil"/>
            </w:tcBorders>
            <w:shd w:val="clear" w:color="auto" w:fill="auto"/>
            <w:noWrap/>
            <w:vAlign w:val="bottom"/>
            <w:hideMark/>
          </w:tcPr>
          <w:p w14:paraId="07B3AC07"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Pr>
                <w:rFonts w:ascii="Calibri" w:hAnsi="Calibri"/>
                <w:color w:val="000000"/>
              </w:rPr>
              <w:t>1.28</w:t>
            </w:r>
          </w:p>
        </w:tc>
      </w:tr>
      <w:tr w:rsidR="003D3E12" w:rsidRPr="00C411B3" w14:paraId="5C2040CE" w14:textId="77777777" w:rsidTr="001C2377">
        <w:trPr>
          <w:trHeight w:val="288"/>
        </w:trPr>
        <w:tc>
          <w:tcPr>
            <w:tcW w:w="1640" w:type="dxa"/>
            <w:tcBorders>
              <w:top w:val="nil"/>
              <w:left w:val="nil"/>
              <w:bottom w:val="nil"/>
              <w:right w:val="nil"/>
            </w:tcBorders>
            <w:shd w:val="clear" w:color="auto" w:fill="auto"/>
            <w:noWrap/>
            <w:vAlign w:val="bottom"/>
            <w:hideMark/>
          </w:tcPr>
          <w:p w14:paraId="7CF11C23"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(6, 950)</w:t>
            </w:r>
          </w:p>
        </w:tc>
        <w:tc>
          <w:tcPr>
            <w:tcW w:w="1640" w:type="dxa"/>
            <w:tcBorders>
              <w:top w:val="nil"/>
              <w:left w:val="nil"/>
              <w:bottom w:val="nil"/>
              <w:right w:val="nil"/>
            </w:tcBorders>
            <w:shd w:val="clear" w:color="auto" w:fill="auto"/>
            <w:noWrap/>
            <w:vAlign w:val="bottom"/>
            <w:hideMark/>
          </w:tcPr>
          <w:p w14:paraId="48D155B6"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5,700</w:t>
            </w:r>
          </w:p>
        </w:tc>
        <w:tc>
          <w:tcPr>
            <w:tcW w:w="1640" w:type="dxa"/>
            <w:tcBorders>
              <w:top w:val="nil"/>
              <w:left w:val="nil"/>
              <w:bottom w:val="nil"/>
              <w:right w:val="nil"/>
            </w:tcBorders>
            <w:shd w:val="clear" w:color="auto" w:fill="auto"/>
            <w:noWrap/>
            <w:vAlign w:val="bottom"/>
            <w:hideMark/>
          </w:tcPr>
          <w:p w14:paraId="21D20FA5"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0.96%</w:t>
            </w:r>
          </w:p>
        </w:tc>
        <w:tc>
          <w:tcPr>
            <w:tcW w:w="1880" w:type="dxa"/>
            <w:tcBorders>
              <w:top w:val="nil"/>
              <w:left w:val="nil"/>
              <w:bottom w:val="nil"/>
              <w:right w:val="nil"/>
            </w:tcBorders>
            <w:shd w:val="clear" w:color="auto" w:fill="auto"/>
            <w:noWrap/>
            <w:vAlign w:val="bottom"/>
            <w:hideMark/>
          </w:tcPr>
          <w:p w14:paraId="12AEEF55"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Pr>
                <w:rFonts w:ascii="Calibri" w:hAnsi="Calibri"/>
                <w:color w:val="000000"/>
              </w:rPr>
              <w:t>1.30</w:t>
            </w:r>
          </w:p>
        </w:tc>
      </w:tr>
      <w:tr w:rsidR="003D3E12" w:rsidRPr="00C411B3" w14:paraId="1DF6416F" w14:textId="77777777" w:rsidTr="001C2377">
        <w:trPr>
          <w:trHeight w:val="288"/>
        </w:trPr>
        <w:tc>
          <w:tcPr>
            <w:tcW w:w="1640" w:type="dxa"/>
            <w:tcBorders>
              <w:top w:val="nil"/>
              <w:left w:val="nil"/>
              <w:bottom w:val="nil"/>
              <w:right w:val="nil"/>
            </w:tcBorders>
            <w:shd w:val="clear" w:color="auto" w:fill="auto"/>
            <w:noWrap/>
            <w:vAlign w:val="bottom"/>
            <w:hideMark/>
          </w:tcPr>
          <w:p w14:paraId="5C631020"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(9, 650)</w:t>
            </w:r>
          </w:p>
        </w:tc>
        <w:tc>
          <w:tcPr>
            <w:tcW w:w="1640" w:type="dxa"/>
            <w:tcBorders>
              <w:top w:val="nil"/>
              <w:left w:val="nil"/>
              <w:bottom w:val="nil"/>
              <w:right w:val="nil"/>
            </w:tcBorders>
            <w:shd w:val="clear" w:color="auto" w:fill="auto"/>
            <w:noWrap/>
            <w:vAlign w:val="bottom"/>
            <w:hideMark/>
          </w:tcPr>
          <w:p w14:paraId="5F6E8E0A"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5,850</w:t>
            </w:r>
          </w:p>
        </w:tc>
        <w:tc>
          <w:tcPr>
            <w:tcW w:w="1640" w:type="dxa"/>
            <w:tcBorders>
              <w:top w:val="nil"/>
              <w:left w:val="nil"/>
              <w:bottom w:val="nil"/>
              <w:right w:val="nil"/>
            </w:tcBorders>
            <w:shd w:val="clear" w:color="auto" w:fill="auto"/>
            <w:noWrap/>
            <w:vAlign w:val="bottom"/>
            <w:hideMark/>
          </w:tcPr>
          <w:p w14:paraId="2F4BFD7C"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0.97%</w:t>
            </w:r>
          </w:p>
        </w:tc>
        <w:tc>
          <w:tcPr>
            <w:tcW w:w="1880" w:type="dxa"/>
            <w:tcBorders>
              <w:top w:val="nil"/>
              <w:left w:val="nil"/>
              <w:bottom w:val="nil"/>
              <w:right w:val="nil"/>
            </w:tcBorders>
            <w:shd w:val="clear" w:color="auto" w:fill="auto"/>
            <w:noWrap/>
            <w:vAlign w:val="bottom"/>
            <w:hideMark/>
          </w:tcPr>
          <w:p w14:paraId="11484E73"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Pr>
                <w:rFonts w:ascii="Calibri" w:hAnsi="Calibri"/>
                <w:color w:val="000000"/>
              </w:rPr>
              <w:t>1.29</w:t>
            </w:r>
          </w:p>
        </w:tc>
      </w:tr>
      <w:tr w:rsidR="003D3E12" w:rsidRPr="00C411B3" w14:paraId="1C0479F4" w14:textId="77777777" w:rsidTr="001C2377">
        <w:trPr>
          <w:trHeight w:val="288"/>
        </w:trPr>
        <w:tc>
          <w:tcPr>
            <w:tcW w:w="1640" w:type="dxa"/>
            <w:tcBorders>
              <w:top w:val="nil"/>
              <w:left w:val="nil"/>
              <w:bottom w:val="nil"/>
              <w:right w:val="nil"/>
            </w:tcBorders>
            <w:shd w:val="clear" w:color="auto" w:fill="auto"/>
            <w:noWrap/>
            <w:vAlign w:val="bottom"/>
            <w:hideMark/>
          </w:tcPr>
          <w:p w14:paraId="0B3906E2"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(12, 500)</w:t>
            </w:r>
          </w:p>
        </w:tc>
        <w:tc>
          <w:tcPr>
            <w:tcW w:w="1640" w:type="dxa"/>
            <w:tcBorders>
              <w:top w:val="nil"/>
              <w:left w:val="nil"/>
              <w:bottom w:val="nil"/>
              <w:right w:val="nil"/>
            </w:tcBorders>
            <w:shd w:val="clear" w:color="auto" w:fill="auto"/>
            <w:noWrap/>
            <w:vAlign w:val="bottom"/>
            <w:hideMark/>
          </w:tcPr>
          <w:p w14:paraId="25C9D17D"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6,000</w:t>
            </w:r>
          </w:p>
        </w:tc>
        <w:tc>
          <w:tcPr>
            <w:tcW w:w="1640" w:type="dxa"/>
            <w:tcBorders>
              <w:top w:val="nil"/>
              <w:left w:val="nil"/>
              <w:bottom w:val="nil"/>
              <w:right w:val="nil"/>
            </w:tcBorders>
            <w:shd w:val="clear" w:color="auto" w:fill="auto"/>
            <w:noWrap/>
            <w:vAlign w:val="bottom"/>
            <w:hideMark/>
          </w:tcPr>
          <w:p w14:paraId="4A766387"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1.00%</w:t>
            </w:r>
          </w:p>
        </w:tc>
        <w:tc>
          <w:tcPr>
            <w:tcW w:w="1880" w:type="dxa"/>
            <w:tcBorders>
              <w:top w:val="nil"/>
              <w:left w:val="nil"/>
              <w:bottom w:val="nil"/>
              <w:right w:val="nil"/>
            </w:tcBorders>
            <w:shd w:val="clear" w:color="auto" w:fill="auto"/>
            <w:noWrap/>
            <w:vAlign w:val="bottom"/>
            <w:hideMark/>
          </w:tcPr>
          <w:p w14:paraId="3AD517F2"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Pr>
                <w:rFonts w:ascii="Calibri" w:hAnsi="Calibri"/>
                <w:color w:val="000000"/>
              </w:rPr>
              <w:t>1.27</w:t>
            </w:r>
          </w:p>
        </w:tc>
      </w:tr>
      <w:tr w:rsidR="003D3E12" w:rsidRPr="00C411B3" w14:paraId="1F061414" w14:textId="77777777" w:rsidTr="001C2377">
        <w:trPr>
          <w:trHeight w:val="288"/>
        </w:trPr>
        <w:tc>
          <w:tcPr>
            <w:tcW w:w="1640" w:type="dxa"/>
            <w:tcBorders>
              <w:top w:val="nil"/>
              <w:left w:val="nil"/>
              <w:bottom w:val="nil"/>
              <w:right w:val="nil"/>
            </w:tcBorders>
            <w:shd w:val="clear" w:color="auto" w:fill="auto"/>
            <w:noWrap/>
            <w:vAlign w:val="bottom"/>
            <w:hideMark/>
          </w:tcPr>
          <w:p w14:paraId="72C753B7"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(15, 429)</w:t>
            </w:r>
          </w:p>
        </w:tc>
        <w:tc>
          <w:tcPr>
            <w:tcW w:w="1640" w:type="dxa"/>
            <w:tcBorders>
              <w:top w:val="nil"/>
              <w:left w:val="nil"/>
              <w:bottom w:val="nil"/>
              <w:right w:val="nil"/>
            </w:tcBorders>
            <w:shd w:val="clear" w:color="auto" w:fill="auto"/>
            <w:noWrap/>
            <w:vAlign w:val="bottom"/>
            <w:hideMark/>
          </w:tcPr>
          <w:p w14:paraId="63E377A8"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6,435</w:t>
            </w:r>
          </w:p>
        </w:tc>
        <w:tc>
          <w:tcPr>
            <w:tcW w:w="1640" w:type="dxa"/>
            <w:tcBorders>
              <w:top w:val="nil"/>
              <w:left w:val="nil"/>
              <w:bottom w:val="nil"/>
              <w:right w:val="nil"/>
            </w:tcBorders>
            <w:shd w:val="clear" w:color="auto" w:fill="auto"/>
            <w:noWrap/>
            <w:vAlign w:val="bottom"/>
            <w:hideMark/>
          </w:tcPr>
          <w:p w14:paraId="287262B1"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0.96%</w:t>
            </w:r>
          </w:p>
        </w:tc>
        <w:tc>
          <w:tcPr>
            <w:tcW w:w="1880" w:type="dxa"/>
            <w:tcBorders>
              <w:top w:val="nil"/>
              <w:left w:val="nil"/>
              <w:bottom w:val="nil"/>
              <w:right w:val="nil"/>
            </w:tcBorders>
            <w:shd w:val="clear" w:color="auto" w:fill="auto"/>
            <w:noWrap/>
            <w:vAlign w:val="bottom"/>
            <w:hideMark/>
          </w:tcPr>
          <w:p w14:paraId="4740E10A"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Pr>
                <w:rFonts w:ascii="Calibri" w:hAnsi="Calibri"/>
                <w:color w:val="000000"/>
              </w:rPr>
              <w:t>1.27</w:t>
            </w:r>
          </w:p>
        </w:tc>
      </w:tr>
      <w:tr w:rsidR="003D3E12" w:rsidRPr="00C411B3" w14:paraId="00F54219" w14:textId="77777777" w:rsidTr="001C2377">
        <w:trPr>
          <w:trHeight w:val="288"/>
        </w:trPr>
        <w:tc>
          <w:tcPr>
            <w:tcW w:w="1640" w:type="dxa"/>
            <w:tcBorders>
              <w:top w:val="nil"/>
              <w:left w:val="nil"/>
              <w:bottom w:val="nil"/>
              <w:right w:val="nil"/>
            </w:tcBorders>
            <w:shd w:val="clear" w:color="auto" w:fill="auto"/>
            <w:noWrap/>
            <w:vAlign w:val="bottom"/>
            <w:hideMark/>
          </w:tcPr>
          <w:p w14:paraId="473CF5C4"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(20, 350)</w:t>
            </w:r>
          </w:p>
        </w:tc>
        <w:tc>
          <w:tcPr>
            <w:tcW w:w="1640" w:type="dxa"/>
            <w:tcBorders>
              <w:top w:val="nil"/>
              <w:left w:val="nil"/>
              <w:bottom w:val="nil"/>
              <w:right w:val="nil"/>
            </w:tcBorders>
            <w:shd w:val="clear" w:color="auto" w:fill="auto"/>
            <w:noWrap/>
            <w:vAlign w:val="bottom"/>
            <w:hideMark/>
          </w:tcPr>
          <w:p w14:paraId="08AD4A61"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7,000</w:t>
            </w:r>
          </w:p>
        </w:tc>
        <w:tc>
          <w:tcPr>
            <w:tcW w:w="1640" w:type="dxa"/>
            <w:tcBorders>
              <w:top w:val="nil"/>
              <w:left w:val="nil"/>
              <w:bottom w:val="nil"/>
              <w:right w:val="nil"/>
            </w:tcBorders>
            <w:shd w:val="clear" w:color="auto" w:fill="auto"/>
            <w:noWrap/>
            <w:vAlign w:val="bottom"/>
            <w:hideMark/>
          </w:tcPr>
          <w:p w14:paraId="7B0B2D79"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0.96%</w:t>
            </w:r>
          </w:p>
        </w:tc>
        <w:tc>
          <w:tcPr>
            <w:tcW w:w="1880" w:type="dxa"/>
            <w:tcBorders>
              <w:top w:val="nil"/>
              <w:left w:val="nil"/>
              <w:bottom w:val="nil"/>
              <w:right w:val="nil"/>
            </w:tcBorders>
            <w:shd w:val="clear" w:color="auto" w:fill="auto"/>
            <w:noWrap/>
            <w:vAlign w:val="bottom"/>
            <w:hideMark/>
          </w:tcPr>
          <w:p w14:paraId="76DC6AAC"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Pr>
                <w:rFonts w:ascii="Calibri" w:hAnsi="Calibri"/>
                <w:color w:val="000000"/>
              </w:rPr>
              <w:t>1.27</w:t>
            </w:r>
          </w:p>
        </w:tc>
      </w:tr>
      <w:tr w:rsidR="003D3E12" w:rsidRPr="00C411B3" w14:paraId="050660A3" w14:textId="77777777" w:rsidTr="001C2377">
        <w:trPr>
          <w:trHeight w:val="288"/>
        </w:trPr>
        <w:tc>
          <w:tcPr>
            <w:tcW w:w="1640" w:type="dxa"/>
            <w:tcBorders>
              <w:top w:val="nil"/>
              <w:left w:val="nil"/>
              <w:bottom w:val="nil"/>
              <w:right w:val="nil"/>
            </w:tcBorders>
            <w:shd w:val="clear" w:color="auto" w:fill="auto"/>
            <w:noWrap/>
            <w:vAlign w:val="bottom"/>
            <w:hideMark/>
          </w:tcPr>
          <w:p w14:paraId="5BF56510"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(25, 312)</w:t>
            </w:r>
          </w:p>
        </w:tc>
        <w:tc>
          <w:tcPr>
            <w:tcW w:w="1640" w:type="dxa"/>
            <w:tcBorders>
              <w:top w:val="nil"/>
              <w:left w:val="nil"/>
              <w:bottom w:val="nil"/>
              <w:right w:val="nil"/>
            </w:tcBorders>
            <w:shd w:val="clear" w:color="auto" w:fill="auto"/>
            <w:noWrap/>
            <w:vAlign w:val="bottom"/>
            <w:hideMark/>
          </w:tcPr>
          <w:p w14:paraId="7033088D"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7,800</w:t>
            </w:r>
          </w:p>
        </w:tc>
        <w:tc>
          <w:tcPr>
            <w:tcW w:w="1640" w:type="dxa"/>
            <w:tcBorders>
              <w:top w:val="nil"/>
              <w:left w:val="nil"/>
              <w:bottom w:val="nil"/>
              <w:right w:val="nil"/>
            </w:tcBorders>
            <w:shd w:val="clear" w:color="auto" w:fill="auto"/>
            <w:noWrap/>
            <w:vAlign w:val="bottom"/>
            <w:hideMark/>
          </w:tcPr>
          <w:p w14:paraId="70DC0A8C"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0.98%</w:t>
            </w:r>
          </w:p>
        </w:tc>
        <w:tc>
          <w:tcPr>
            <w:tcW w:w="1880" w:type="dxa"/>
            <w:tcBorders>
              <w:top w:val="nil"/>
              <w:left w:val="nil"/>
              <w:bottom w:val="nil"/>
              <w:right w:val="nil"/>
            </w:tcBorders>
            <w:shd w:val="clear" w:color="auto" w:fill="auto"/>
            <w:noWrap/>
            <w:vAlign w:val="bottom"/>
            <w:hideMark/>
          </w:tcPr>
          <w:p w14:paraId="448D8A7B"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Pr>
                <w:rFonts w:ascii="Calibri" w:hAnsi="Calibri"/>
                <w:color w:val="000000"/>
              </w:rPr>
              <w:t>1.28</w:t>
            </w:r>
          </w:p>
        </w:tc>
      </w:tr>
      <w:tr w:rsidR="003D3E12" w:rsidRPr="00C411B3" w14:paraId="52E07B69" w14:textId="77777777" w:rsidTr="001C2377">
        <w:trPr>
          <w:trHeight w:val="288"/>
        </w:trPr>
        <w:tc>
          <w:tcPr>
            <w:tcW w:w="1640" w:type="dxa"/>
            <w:tcBorders>
              <w:top w:val="nil"/>
              <w:left w:val="nil"/>
              <w:bottom w:val="nil"/>
              <w:right w:val="nil"/>
            </w:tcBorders>
            <w:shd w:val="clear" w:color="auto" w:fill="auto"/>
            <w:noWrap/>
            <w:vAlign w:val="bottom"/>
            <w:hideMark/>
          </w:tcPr>
          <w:p w14:paraId="60B5F96C"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(28, 273)</w:t>
            </w:r>
          </w:p>
        </w:tc>
        <w:tc>
          <w:tcPr>
            <w:tcW w:w="1640" w:type="dxa"/>
            <w:tcBorders>
              <w:top w:val="nil"/>
              <w:left w:val="nil"/>
              <w:bottom w:val="nil"/>
              <w:right w:val="nil"/>
            </w:tcBorders>
            <w:shd w:val="clear" w:color="auto" w:fill="auto"/>
            <w:noWrap/>
            <w:vAlign w:val="bottom"/>
            <w:hideMark/>
          </w:tcPr>
          <w:p w14:paraId="402E8484"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7,644</w:t>
            </w:r>
          </w:p>
        </w:tc>
        <w:tc>
          <w:tcPr>
            <w:tcW w:w="1640" w:type="dxa"/>
            <w:tcBorders>
              <w:top w:val="nil"/>
              <w:left w:val="nil"/>
              <w:bottom w:val="nil"/>
              <w:right w:val="nil"/>
            </w:tcBorders>
            <w:shd w:val="clear" w:color="auto" w:fill="auto"/>
            <w:noWrap/>
            <w:vAlign w:val="bottom"/>
            <w:hideMark/>
          </w:tcPr>
          <w:p w14:paraId="539EA574"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sidRPr="00C411B3">
              <w:rPr>
                <w:rFonts w:ascii="Calibri" w:eastAsia="Times New Roman" w:hAnsi="Calibri" w:cs="Times New Roman"/>
                <w:color w:val="000000"/>
                <w:lang w:eastAsia="en-GB"/>
              </w:rPr>
              <w:t>1.00%</w:t>
            </w:r>
          </w:p>
        </w:tc>
        <w:tc>
          <w:tcPr>
            <w:tcW w:w="1880" w:type="dxa"/>
            <w:tcBorders>
              <w:top w:val="nil"/>
              <w:left w:val="nil"/>
              <w:bottom w:val="nil"/>
              <w:right w:val="nil"/>
            </w:tcBorders>
            <w:shd w:val="clear" w:color="auto" w:fill="auto"/>
            <w:noWrap/>
            <w:vAlign w:val="bottom"/>
            <w:hideMark/>
          </w:tcPr>
          <w:p w14:paraId="083E2364" w14:textId="77777777" w:rsidR="003D3E12" w:rsidRPr="00C411B3" w:rsidRDefault="003D3E12" w:rsidP="00AF0142">
            <w:pPr>
              <w:spacing w:after="0" w:line="240" w:lineRule="auto"/>
              <w:jc w:val="both"/>
              <w:rPr>
                <w:rFonts w:ascii="Calibri" w:eastAsia="Times New Roman" w:hAnsi="Calibri" w:cs="Times New Roman"/>
                <w:color w:val="000000"/>
                <w:lang w:eastAsia="en-GB"/>
              </w:rPr>
            </w:pPr>
            <w:r>
              <w:rPr>
                <w:rFonts w:ascii="Calibri" w:hAnsi="Calibri"/>
                <w:color w:val="000000"/>
              </w:rPr>
              <w:t>1.30</w:t>
            </w:r>
          </w:p>
        </w:tc>
      </w:tr>
    </w:tbl>
    <w:p w14:paraId="08EB3AF2" w14:textId="77777777" w:rsidR="003D3E12" w:rsidRPr="00D92221" w:rsidRDefault="003D3E12" w:rsidP="00AF0142">
      <w:pPr>
        <w:pStyle w:val="ListParagraph"/>
        <w:jc w:val="both"/>
      </w:pPr>
    </w:p>
    <w:p w14:paraId="33A45563" w14:textId="58AD7FA8" w:rsidR="003D3E12" w:rsidRDefault="003D3E12" w:rsidP="00AF0142">
      <w:pPr>
        <w:jc w:val="both"/>
      </w:pPr>
      <w:r>
        <w:t>Potential ways of reducing the contribution of differential weighting to</w:t>
      </w:r>
      <w:r w:rsidRPr="00D92221">
        <w:t xml:space="preserve"> the design effect </w:t>
      </w:r>
      <w:r>
        <w:t>include s</w:t>
      </w:r>
      <w:r w:rsidRPr="00D92221">
        <w:t xml:space="preserve">electing the OAs with a probability proportional to their size </w:t>
      </w:r>
      <w:r>
        <w:t xml:space="preserve">(PPS) </w:t>
      </w:r>
      <w:r w:rsidRPr="00D92221">
        <w:t>and then selecting a fixed number of cases in each OA; or</w:t>
      </w:r>
      <w:r>
        <w:t xml:space="preserve"> selecting the OAs using simple random sampling</w:t>
      </w:r>
      <w:r w:rsidRPr="00D92221">
        <w:t>, and within each OA selecting a number of cases that is proportional to the size of the OA</w:t>
      </w:r>
      <w:r>
        <w:t>. Achieving equal weights in the design (15,429) will see its design effect decrease from 1.27 to 1.20. We plan to sample OAs PPS within each stratum in the 2020 test as it is more convenient for fielwork planning.</w:t>
      </w:r>
    </w:p>
    <w:p w14:paraId="426C795A" w14:textId="13074286" w:rsidR="003D3E12" w:rsidRDefault="003D3E12" w:rsidP="00AF0142">
      <w:pPr>
        <w:jc w:val="both"/>
      </w:pPr>
      <w:r>
        <w:t xml:space="preserve">The effect of clustering is expected to vary between variables; it should be high for ethnicity and low for health. We will use data from Census 2011 to compute the intra-correlation coefficients, which will allow us to compute the clustering effect, for all census variables that are equivalent, or proxy, to varables collected in social surveys. </w:t>
      </w:r>
    </w:p>
    <w:p w14:paraId="6BE6EA6F" w14:textId="231AFF28" w:rsidR="003D3E12" w:rsidRDefault="003D3E12" w:rsidP="00AF0142">
      <w:pPr>
        <w:jc w:val="both"/>
      </w:pPr>
      <w:r>
        <w:t>Obtain</w:t>
      </w:r>
      <w:r w:rsidR="0061444D">
        <w:t>in</w:t>
      </w:r>
      <w:r>
        <w:t>g the combined design effect, from weight variation and clustering, will allow us to choose which design has the highest effective sample size for LMS. The designs (3,1700) and (28,273) should have the lowest and highest combined design effects, respectively as the effect of clustering increases with the sample size in an OA. Given that the different designs vary little in terms of precision for population estimates, the design with the highest effective sample size, which is defined as the ratio of the total sample size to the combined design effect, will be chosen for the 2020 test, provided it is cost-effective for fieldwork.</w:t>
      </w:r>
    </w:p>
    <w:p w14:paraId="010211A8" w14:textId="671B6BF3" w:rsidR="00C34C64" w:rsidRDefault="00105200" w:rsidP="00AF0142">
      <w:pPr>
        <w:pStyle w:val="Heading2"/>
        <w:jc w:val="both"/>
        <w:rPr>
          <w:rFonts w:asciiTheme="minorHAnsi" w:hAnsiTheme="minorHAnsi"/>
        </w:rPr>
      </w:pPr>
      <w:r>
        <w:rPr>
          <w:rFonts w:asciiTheme="minorHAnsi" w:hAnsiTheme="minorHAnsi"/>
        </w:rPr>
        <w:t>4.3</w:t>
      </w:r>
      <w:r>
        <w:rPr>
          <w:rFonts w:asciiTheme="minorHAnsi" w:hAnsiTheme="minorHAnsi"/>
        </w:rPr>
        <w:tab/>
      </w:r>
      <w:r w:rsidR="00C34C64" w:rsidRPr="006664D1">
        <w:rPr>
          <w:rFonts w:asciiTheme="minorHAnsi" w:hAnsiTheme="minorHAnsi"/>
        </w:rPr>
        <w:t xml:space="preserve">Length of </w:t>
      </w:r>
      <w:r w:rsidR="004D3629" w:rsidRPr="006664D1">
        <w:rPr>
          <w:rFonts w:asciiTheme="minorHAnsi" w:hAnsiTheme="minorHAnsi"/>
        </w:rPr>
        <w:t>field period</w:t>
      </w:r>
    </w:p>
    <w:p w14:paraId="2CD91767" w14:textId="77777777" w:rsidR="0061444D" w:rsidRPr="00E85189" w:rsidRDefault="0061444D" w:rsidP="00AF0142">
      <w:pPr>
        <w:jc w:val="both"/>
      </w:pPr>
    </w:p>
    <w:p w14:paraId="3E551969" w14:textId="7ED7DD18" w:rsidR="00AD5678" w:rsidRPr="006664D1" w:rsidRDefault="00AD5678" w:rsidP="00AF0142">
      <w:pPr>
        <w:jc w:val="both"/>
      </w:pPr>
      <w:r w:rsidRPr="006664D1">
        <w:t>Introducing an online mode to surveys requires a longer fieldwork period to allow for the transition between modes. Currently, the LFS has a fiel</w:t>
      </w:r>
      <w:r w:rsidR="00005B63" w:rsidRPr="006664D1">
        <w:t>dwork period of 2</w:t>
      </w:r>
      <w:r w:rsidR="00DD3860">
        <w:t xml:space="preserve"> </w:t>
      </w:r>
      <w:r w:rsidRPr="006664D1">
        <w:t xml:space="preserve">weeks. In the most recent mixed mode integrated test the field period </w:t>
      </w:r>
      <w:r w:rsidR="00B12FEF" w:rsidRPr="006664D1">
        <w:t xml:space="preserve">was 8 weeks (2 weeks online only, followed by 6 weeks Face-to-Face and Online). </w:t>
      </w:r>
      <w:r w:rsidR="004C2FFF" w:rsidRPr="006664D1">
        <w:t xml:space="preserve">There is a concern that lengthening the field period will result in a clustering effect in the distribution of data collection which will have a negative effect on the quality of the data. </w:t>
      </w:r>
      <w:r w:rsidRPr="006664D1">
        <w:t>Data from the recent test will offer an opportuni</w:t>
      </w:r>
      <w:r w:rsidR="005F5C49" w:rsidRPr="006664D1">
        <w:t>ty to explore the impact of lengthening the reference period</w:t>
      </w:r>
      <w:r w:rsidR="004C2FFF" w:rsidRPr="006664D1">
        <w:t xml:space="preserve"> and provide further evidence to determine the optimum field length, both for each mode and overall.</w:t>
      </w:r>
    </w:p>
    <w:p w14:paraId="7D4EF5ED" w14:textId="6AFAE9C8" w:rsidR="00E7439F" w:rsidRDefault="00105200" w:rsidP="00AF0142">
      <w:pPr>
        <w:pStyle w:val="Heading2"/>
        <w:jc w:val="both"/>
        <w:rPr>
          <w:rFonts w:asciiTheme="minorHAnsi" w:hAnsiTheme="minorHAnsi"/>
        </w:rPr>
      </w:pPr>
      <w:r>
        <w:rPr>
          <w:rFonts w:asciiTheme="minorHAnsi" w:hAnsiTheme="minorHAnsi"/>
        </w:rPr>
        <w:t>4.4</w:t>
      </w:r>
      <w:r>
        <w:rPr>
          <w:rFonts w:asciiTheme="minorHAnsi" w:hAnsiTheme="minorHAnsi"/>
        </w:rPr>
        <w:tab/>
      </w:r>
      <w:r w:rsidR="00AD5678" w:rsidRPr="006664D1">
        <w:rPr>
          <w:rFonts w:asciiTheme="minorHAnsi" w:hAnsiTheme="minorHAnsi"/>
        </w:rPr>
        <w:t>Reference period</w:t>
      </w:r>
      <w:r w:rsidR="00E7439F" w:rsidRPr="006664D1">
        <w:rPr>
          <w:rFonts w:asciiTheme="minorHAnsi" w:hAnsiTheme="minorHAnsi"/>
        </w:rPr>
        <w:t xml:space="preserve"> </w:t>
      </w:r>
    </w:p>
    <w:p w14:paraId="4CEEE628" w14:textId="77777777" w:rsidR="0061444D" w:rsidRPr="00E85189" w:rsidRDefault="0061444D" w:rsidP="00AF0142">
      <w:pPr>
        <w:jc w:val="both"/>
      </w:pPr>
    </w:p>
    <w:p w14:paraId="3004166E" w14:textId="794EB883" w:rsidR="00E402BA" w:rsidRPr="006664D1" w:rsidRDefault="00E402BA" w:rsidP="008B54F2">
      <w:pPr>
        <w:jc w:val="both"/>
      </w:pPr>
      <w:r w:rsidRPr="006664D1">
        <w:lastRenderedPageBreak/>
        <w:t xml:space="preserve">Current social surveys use various reference periods within their design, for example, the current LFS design uses a fixed reference week, whereas the Crime Survey uses a reference period of the last 12 months. </w:t>
      </w:r>
    </w:p>
    <w:p w14:paraId="4F6720FB" w14:textId="6799A2F1" w:rsidR="00C34C64" w:rsidRPr="006664D1" w:rsidRDefault="00E402BA" w:rsidP="008B54F2">
      <w:pPr>
        <w:jc w:val="both"/>
      </w:pPr>
      <w:r w:rsidRPr="006664D1">
        <w:t>Introducing an online mode to the integrated LMS and PCS requires a longer fieldwork period</w:t>
      </w:r>
      <w:r w:rsidR="00C34C64" w:rsidRPr="006664D1">
        <w:t>, meaning</w:t>
      </w:r>
      <w:r w:rsidRPr="006664D1">
        <w:t xml:space="preserve"> a fixed reference week would be cognitively challenging</w:t>
      </w:r>
      <w:r w:rsidR="00C34C64" w:rsidRPr="006664D1">
        <w:t xml:space="preserve"> in terms of re-call</w:t>
      </w:r>
      <w:r w:rsidRPr="006664D1">
        <w:t xml:space="preserve"> for those completing the survey at the end of the fieldwork period. We have therefore taken the decision to use a rolling reference week, </w:t>
      </w:r>
      <w:r w:rsidR="00C34C64" w:rsidRPr="006664D1">
        <w:t xml:space="preserve">based on the week prior to the date the household commences data collection. </w:t>
      </w:r>
    </w:p>
    <w:p w14:paraId="1E28E810" w14:textId="627E7A51" w:rsidR="00C34C64" w:rsidRPr="006664D1" w:rsidRDefault="00C34C64" w:rsidP="008B54F2">
      <w:pPr>
        <w:jc w:val="both"/>
      </w:pPr>
      <w:r w:rsidRPr="006664D1">
        <w:t>Data from the</w:t>
      </w:r>
      <w:r w:rsidR="0086107A" w:rsidRPr="006664D1">
        <w:t xml:space="preserve"> recent </w:t>
      </w:r>
      <w:r w:rsidR="00F77E7A">
        <w:t>IPACS</w:t>
      </w:r>
      <w:r w:rsidRPr="006664D1">
        <w:t xml:space="preserve"> test will offer an opportunity to explore the impact of this change</w:t>
      </w:r>
      <w:r w:rsidR="0086107A" w:rsidRPr="006664D1">
        <w:t xml:space="preserve">. For example, is there an equal distribution of reference weeks, are there seasonal variations and are there variations between modes? </w:t>
      </w:r>
      <w:r w:rsidRPr="006664D1">
        <w:t xml:space="preserve">   </w:t>
      </w:r>
    </w:p>
    <w:p w14:paraId="2212AD71" w14:textId="661B3E39" w:rsidR="00E402BA" w:rsidRPr="006664D1" w:rsidRDefault="00C34C64" w:rsidP="008B54F2">
      <w:pPr>
        <w:jc w:val="both"/>
      </w:pPr>
      <w:r w:rsidRPr="006664D1">
        <w:t>In addition to this, w</w:t>
      </w:r>
      <w:r w:rsidR="00E402BA" w:rsidRPr="006664D1">
        <w:t xml:space="preserve">e also need to consider if </w:t>
      </w:r>
      <w:r w:rsidRPr="006664D1">
        <w:t xml:space="preserve">an </w:t>
      </w:r>
      <w:r w:rsidR="00F77E7A">
        <w:t>IPACS</w:t>
      </w:r>
      <w:r w:rsidRPr="006664D1">
        <w:t xml:space="preserve"> would require</w:t>
      </w:r>
      <w:r w:rsidR="0086107A" w:rsidRPr="006664D1">
        <w:t xml:space="preserve"> all subsurveys to have </w:t>
      </w:r>
      <w:r w:rsidR="00E402BA" w:rsidRPr="006664D1">
        <w:t>a harmonised reference period, an</w:t>
      </w:r>
      <w:r w:rsidR="0086107A" w:rsidRPr="006664D1">
        <w:t>d if/how this would be possible?</w:t>
      </w:r>
      <w:r w:rsidR="00E402BA" w:rsidRPr="006664D1">
        <w:t xml:space="preserve"> What</w:t>
      </w:r>
      <w:r w:rsidR="0086107A" w:rsidRPr="006664D1">
        <w:t xml:space="preserve"> implications would different reference periods have for cross-analysis?</w:t>
      </w:r>
    </w:p>
    <w:p w14:paraId="325099CA" w14:textId="5E355D5F" w:rsidR="00A86B13" w:rsidRPr="006664D1" w:rsidRDefault="00105200" w:rsidP="00AF0142">
      <w:pPr>
        <w:pStyle w:val="Heading2"/>
        <w:jc w:val="both"/>
        <w:rPr>
          <w:rFonts w:asciiTheme="minorHAnsi" w:hAnsiTheme="minorHAnsi"/>
        </w:rPr>
      </w:pPr>
      <w:r>
        <w:rPr>
          <w:rFonts w:asciiTheme="minorHAnsi" w:hAnsiTheme="minorHAnsi"/>
        </w:rPr>
        <w:t>4.5</w:t>
      </w:r>
      <w:r>
        <w:rPr>
          <w:rFonts w:asciiTheme="minorHAnsi" w:hAnsiTheme="minorHAnsi"/>
        </w:rPr>
        <w:tab/>
      </w:r>
      <w:r w:rsidR="0076229E" w:rsidRPr="006664D1">
        <w:rPr>
          <w:rFonts w:asciiTheme="minorHAnsi" w:hAnsiTheme="minorHAnsi"/>
        </w:rPr>
        <w:t xml:space="preserve">Calibration under an </w:t>
      </w:r>
      <w:r w:rsidR="00F77E7A">
        <w:rPr>
          <w:rFonts w:asciiTheme="minorHAnsi" w:hAnsiTheme="minorHAnsi"/>
        </w:rPr>
        <w:t>Integrated Population and Characteristics Survey</w:t>
      </w:r>
      <w:r w:rsidR="00673A62">
        <w:rPr>
          <w:rFonts w:asciiTheme="minorHAnsi" w:hAnsiTheme="minorHAnsi"/>
        </w:rPr>
        <w:t xml:space="preserve"> (</w:t>
      </w:r>
      <w:r w:rsidR="00F77E7A">
        <w:rPr>
          <w:rFonts w:asciiTheme="minorHAnsi" w:hAnsiTheme="minorHAnsi"/>
        </w:rPr>
        <w:t>IPACS</w:t>
      </w:r>
      <w:r w:rsidR="00673A62">
        <w:rPr>
          <w:rFonts w:asciiTheme="minorHAnsi" w:hAnsiTheme="minorHAnsi"/>
        </w:rPr>
        <w:t>)</w:t>
      </w:r>
    </w:p>
    <w:p w14:paraId="2FC31774" w14:textId="77777777" w:rsidR="0061444D" w:rsidRDefault="0061444D" w:rsidP="00AF0142">
      <w:pPr>
        <w:autoSpaceDE w:val="0"/>
        <w:autoSpaceDN w:val="0"/>
        <w:adjustRightInd w:val="0"/>
        <w:spacing w:after="0" w:line="240" w:lineRule="auto"/>
        <w:jc w:val="both"/>
      </w:pPr>
    </w:p>
    <w:p w14:paraId="22E98FF8" w14:textId="1E57F79D" w:rsidR="006A55C9" w:rsidRPr="006664D1" w:rsidRDefault="00A840A3" w:rsidP="00AF0142">
      <w:pPr>
        <w:autoSpaceDE w:val="0"/>
        <w:autoSpaceDN w:val="0"/>
        <w:adjustRightInd w:val="0"/>
        <w:spacing w:after="0" w:line="240" w:lineRule="auto"/>
        <w:jc w:val="both"/>
      </w:pPr>
      <w:r w:rsidRPr="006664D1">
        <w:t>Calibration is the method that adjusts the weights assigned to survey sample members in order to satisfy (or approximately satisfy) some pre-determined constraints. The most common</w:t>
      </w:r>
      <w:r w:rsidR="00DD3860">
        <w:t>ly used</w:t>
      </w:r>
      <w:r w:rsidRPr="006664D1">
        <w:t xml:space="preserve"> </w:t>
      </w:r>
      <w:r w:rsidR="00DD3860">
        <w:t xml:space="preserve">constraints involve </w:t>
      </w:r>
      <w:r w:rsidRPr="006664D1">
        <w:t xml:space="preserve">(assumed) known </w:t>
      </w:r>
      <w:r w:rsidRPr="00275019">
        <w:rPr>
          <w:b/>
        </w:rPr>
        <w:t xml:space="preserve">fixed </w:t>
      </w:r>
      <w:r w:rsidRPr="006664D1">
        <w:t>population totals</w:t>
      </w:r>
      <w:r w:rsidR="004D1011" w:rsidRPr="006664D1">
        <w:t xml:space="preserve">. </w:t>
      </w:r>
      <w:r w:rsidR="006A55C9" w:rsidRPr="00275019">
        <w:t xml:space="preserve">In the </w:t>
      </w:r>
      <w:r w:rsidR="00B639F5" w:rsidRPr="00275019">
        <w:t>LFS</w:t>
      </w:r>
      <w:r w:rsidR="006A55C9" w:rsidRPr="00275019">
        <w:t>, and all other ONS surveys, the response dataset is calibrated to mid-year population estimates</w:t>
      </w:r>
      <w:r w:rsidR="00A41302" w:rsidRPr="00275019">
        <w:t xml:space="preserve"> (MYEs)</w:t>
      </w:r>
      <w:r w:rsidR="006A55C9" w:rsidRPr="00275019">
        <w:t xml:space="preserve"> by age, sex and geography (down to Local Authority level). </w:t>
      </w:r>
      <w:r w:rsidR="00A41302" w:rsidRPr="00275019">
        <w:t>MYEs</w:t>
      </w:r>
      <w:r w:rsidR="006A55C9" w:rsidRPr="00275019">
        <w:t xml:space="preserve"> are based on Census data which are updated using most</w:t>
      </w:r>
      <w:r w:rsidR="00B639F5" w:rsidRPr="00275019">
        <w:t xml:space="preserve">ly administrative data </w:t>
      </w:r>
      <w:r w:rsidR="006A55C9" w:rsidRPr="00275019">
        <w:t xml:space="preserve">and are hence independent of ONS household surveys. </w:t>
      </w:r>
      <w:r w:rsidRPr="00275019">
        <w:t xml:space="preserve">The key idea is that estimates formed from the weighted sample should replicate the </w:t>
      </w:r>
      <w:r w:rsidRPr="00275019">
        <w:rPr>
          <w:b/>
        </w:rPr>
        <w:t>known</w:t>
      </w:r>
      <w:r w:rsidRPr="00275019">
        <w:t xml:space="preserve"> values from other sources.</w:t>
      </w:r>
      <w:r w:rsidR="004D1011" w:rsidRPr="006664D1">
        <w:t xml:space="preserve"> </w:t>
      </w:r>
    </w:p>
    <w:p w14:paraId="237F6834" w14:textId="77777777" w:rsidR="0061444D" w:rsidRDefault="0061444D" w:rsidP="008B54F2">
      <w:pPr>
        <w:pStyle w:val="NoSpacing"/>
        <w:rPr>
          <w:rFonts w:eastAsiaTheme="minorHAnsi" w:cs="CMR12"/>
          <w:lang w:eastAsia="en-US"/>
        </w:rPr>
      </w:pPr>
    </w:p>
    <w:p w14:paraId="1E1989FE" w14:textId="18AF0F37" w:rsidR="00CF7467" w:rsidRDefault="00A840A3" w:rsidP="008B54F2">
      <w:pPr>
        <w:pStyle w:val="NoSpacing"/>
        <w:rPr>
          <w:rFonts w:eastAsiaTheme="minorHAnsi" w:cs="CMR12"/>
          <w:lang w:eastAsia="en-US"/>
        </w:rPr>
      </w:pPr>
      <w:r w:rsidRPr="00275019">
        <w:rPr>
          <w:rFonts w:eastAsiaTheme="minorHAnsi" w:cs="CMR12"/>
          <w:lang w:eastAsia="en-US"/>
        </w:rPr>
        <w:t>In the</w:t>
      </w:r>
      <w:r w:rsidR="00673A62">
        <w:rPr>
          <w:rFonts w:eastAsiaTheme="minorHAnsi" w:cs="CMR12"/>
          <w:lang w:eastAsia="en-US"/>
        </w:rPr>
        <w:t xml:space="preserve"> proposed </w:t>
      </w:r>
      <w:r w:rsidR="00F77E7A">
        <w:rPr>
          <w:rFonts w:eastAsiaTheme="minorHAnsi" w:cs="CMR12"/>
          <w:lang w:eastAsia="en-US"/>
        </w:rPr>
        <w:t>IPACS</w:t>
      </w:r>
      <w:r w:rsidRPr="00275019">
        <w:rPr>
          <w:rFonts w:eastAsiaTheme="minorHAnsi" w:cs="CMR12"/>
          <w:lang w:eastAsia="en-US"/>
        </w:rPr>
        <w:t xml:space="preserve">, the survey is used to estimate the population totals, so they are </w:t>
      </w:r>
      <w:r w:rsidRPr="00275019">
        <w:rPr>
          <w:rFonts w:eastAsiaTheme="minorHAnsi" w:cs="CMR12"/>
          <w:b/>
          <w:lang w:eastAsia="en-US"/>
        </w:rPr>
        <w:t>estimated</w:t>
      </w:r>
      <w:r w:rsidRPr="00275019">
        <w:rPr>
          <w:rFonts w:eastAsiaTheme="minorHAnsi" w:cs="CMR12"/>
          <w:lang w:eastAsia="en-US"/>
        </w:rPr>
        <w:t xml:space="preserve"> (not fixed)</w:t>
      </w:r>
      <w:r w:rsidR="00F843AB" w:rsidRPr="00275019">
        <w:rPr>
          <w:rFonts w:eastAsiaTheme="minorHAnsi" w:cs="CMR12"/>
          <w:lang w:eastAsia="en-US"/>
        </w:rPr>
        <w:t xml:space="preserve"> and not independent of the survey</w:t>
      </w:r>
      <w:r w:rsidRPr="00275019">
        <w:rPr>
          <w:rFonts w:eastAsiaTheme="minorHAnsi" w:cs="CMR12"/>
          <w:lang w:eastAsia="en-US"/>
        </w:rPr>
        <w:t>.</w:t>
      </w:r>
      <w:r w:rsidR="00A41302" w:rsidRPr="00275019">
        <w:rPr>
          <w:rFonts w:eastAsiaTheme="minorHAnsi" w:cs="CMR12"/>
          <w:lang w:eastAsia="en-US"/>
        </w:rPr>
        <w:t xml:space="preserve"> </w:t>
      </w:r>
      <w:r w:rsidR="00B74180" w:rsidRPr="00275019">
        <w:rPr>
          <w:rFonts w:eastAsiaTheme="minorHAnsi" w:cs="CMR12"/>
          <w:lang w:eastAsia="en-US"/>
        </w:rPr>
        <w:t>We have s</w:t>
      </w:r>
      <w:r w:rsidR="00A41302" w:rsidRPr="00275019">
        <w:rPr>
          <w:rFonts w:eastAsiaTheme="minorHAnsi" w:cs="CMR12"/>
          <w:lang w:eastAsia="en-US"/>
        </w:rPr>
        <w:t xml:space="preserve">ought initial methodological assurance on our </w:t>
      </w:r>
      <w:r w:rsidR="00A41302" w:rsidRPr="00275019">
        <w:rPr>
          <w:rFonts w:eastAsiaTheme="minorHAnsi"/>
          <w:lang w:eastAsia="en-US"/>
        </w:rPr>
        <w:t>proposals</w:t>
      </w:r>
      <w:r w:rsidR="00A41302" w:rsidRPr="00275019">
        <w:rPr>
          <w:rFonts w:eastAsiaTheme="minorHAnsi" w:cs="CMR12"/>
          <w:lang w:eastAsia="en-US"/>
        </w:rPr>
        <w:t xml:space="preserve"> and have received advice that </w:t>
      </w:r>
      <w:r w:rsidR="00B74180" w:rsidRPr="00275019">
        <w:rPr>
          <w:rFonts w:eastAsiaTheme="minorHAnsi" w:cs="CMR12"/>
          <w:lang w:eastAsia="en-US"/>
        </w:rPr>
        <w:t>our</w:t>
      </w:r>
      <w:r w:rsidR="00A41302" w:rsidRPr="00275019">
        <w:rPr>
          <w:rFonts w:eastAsiaTheme="minorHAnsi" w:cs="CMR12"/>
          <w:lang w:eastAsia="en-US"/>
        </w:rPr>
        <w:t xml:space="preserve"> approach is possible pr</w:t>
      </w:r>
      <w:r w:rsidR="001E7C8C" w:rsidRPr="00275019">
        <w:rPr>
          <w:rFonts w:eastAsiaTheme="minorHAnsi" w:cs="CMR12"/>
          <w:lang w:eastAsia="en-US"/>
        </w:rPr>
        <w:t>ovided some key</w:t>
      </w:r>
      <w:r w:rsidR="00A41302" w:rsidRPr="00275019">
        <w:rPr>
          <w:rFonts w:eastAsiaTheme="minorHAnsi" w:cs="CMR12"/>
          <w:lang w:eastAsia="en-US"/>
        </w:rPr>
        <w:t xml:space="preserve"> assumptions are satisfied. </w:t>
      </w:r>
      <w:r w:rsidR="001E7C8C" w:rsidRPr="00275019">
        <w:rPr>
          <w:rFonts w:eastAsiaTheme="minorHAnsi" w:cs="CMR12"/>
          <w:lang w:eastAsia="en-US"/>
        </w:rPr>
        <w:t xml:space="preserve">The critical point is that the estimated population totals, derived from the population estimation framework and used in calibration, have to be </w:t>
      </w:r>
      <w:r w:rsidR="00D82F35">
        <w:rPr>
          <w:rFonts w:eastAsiaTheme="minorHAnsi" w:cs="CMR12"/>
          <w:lang w:eastAsia="en-US"/>
        </w:rPr>
        <w:t xml:space="preserve">nearly </w:t>
      </w:r>
      <w:r w:rsidR="001E7C8C" w:rsidRPr="00275019">
        <w:rPr>
          <w:rFonts w:eastAsiaTheme="minorHAnsi" w:cs="CMR12"/>
          <w:b/>
          <w:lang w:eastAsia="en-US"/>
        </w:rPr>
        <w:t>unbiased</w:t>
      </w:r>
      <w:r w:rsidR="00D82F35">
        <w:rPr>
          <w:rFonts w:eastAsiaTheme="minorHAnsi" w:cs="CMR12"/>
          <w:b/>
          <w:lang w:eastAsia="en-US"/>
        </w:rPr>
        <w:t xml:space="preserve"> (we aim to achieve levels of bias that do not exceed 0.5%, which is a census quality aim)</w:t>
      </w:r>
      <w:r w:rsidR="001E7C8C" w:rsidRPr="00275019">
        <w:rPr>
          <w:rFonts w:eastAsiaTheme="minorHAnsi" w:cs="CMR12"/>
          <w:lang w:eastAsia="en-US"/>
        </w:rPr>
        <w:t xml:space="preserve">. While the methodology is unspecified it is hard to comment on how far this can be achieved. However, </w:t>
      </w:r>
      <w:r w:rsidR="00B04B24" w:rsidRPr="00275019">
        <w:rPr>
          <w:rFonts w:eastAsiaTheme="minorHAnsi" w:cs="CMR12"/>
          <w:lang w:eastAsia="en-US"/>
        </w:rPr>
        <w:t>it is known that bias</w:t>
      </w:r>
      <w:r w:rsidR="001E7C8C" w:rsidRPr="00275019">
        <w:rPr>
          <w:rFonts w:eastAsiaTheme="minorHAnsi" w:cs="CMR12"/>
          <w:lang w:eastAsia="en-US"/>
        </w:rPr>
        <w:t xml:space="preserve"> is particularly problematic when there is nonresponse. </w:t>
      </w:r>
      <w:r w:rsidR="00B04B24" w:rsidRPr="00275019">
        <w:rPr>
          <w:rFonts w:eastAsiaTheme="minorHAnsi" w:cs="CMR12"/>
          <w:lang w:eastAsia="en-US"/>
        </w:rPr>
        <w:t xml:space="preserve">Work is planned to explore the correlation in non-response between administrative data sources and surveys. If there is no correlation between the two sources, then lower response rates will be less of an issue. However, if the two are correlated a high response rate in the master sample is essential, as it is the case with current Census Coverage Survey. This will be problematic for a </w:t>
      </w:r>
      <w:r w:rsidR="00B04B24" w:rsidRPr="00275019">
        <w:rPr>
          <w:rFonts w:eastAsiaTheme="minorHAnsi" w:cs="CMR12"/>
          <w:b/>
          <w:lang w:eastAsia="en-US"/>
        </w:rPr>
        <w:t>voluntary</w:t>
      </w:r>
      <w:r w:rsidR="00B04B24" w:rsidRPr="00275019">
        <w:rPr>
          <w:rFonts w:eastAsiaTheme="minorHAnsi" w:cs="CMR12"/>
          <w:lang w:eastAsia="en-US"/>
        </w:rPr>
        <w:t xml:space="preserve"> survey. Testing to date has achieved a response rate around 60% suggesting a need to consider mandating the survey.</w:t>
      </w:r>
    </w:p>
    <w:p w14:paraId="50D40BD3" w14:textId="77777777" w:rsidR="006C7CE4" w:rsidRPr="006664D1" w:rsidRDefault="006C7CE4" w:rsidP="008B54F2">
      <w:pPr>
        <w:pStyle w:val="NoSpacing"/>
      </w:pPr>
    </w:p>
    <w:p w14:paraId="2CDC7380" w14:textId="0BB98E6D" w:rsidR="005157D2" w:rsidRPr="006664D1" w:rsidRDefault="00105200" w:rsidP="00AF0142">
      <w:pPr>
        <w:pStyle w:val="Heading2"/>
        <w:jc w:val="both"/>
        <w:rPr>
          <w:rFonts w:asciiTheme="minorHAnsi" w:hAnsiTheme="minorHAnsi"/>
        </w:rPr>
      </w:pPr>
      <w:r>
        <w:rPr>
          <w:rFonts w:asciiTheme="minorHAnsi" w:hAnsiTheme="minorHAnsi"/>
        </w:rPr>
        <w:t>4.6</w:t>
      </w:r>
      <w:r>
        <w:rPr>
          <w:rFonts w:asciiTheme="minorHAnsi" w:hAnsiTheme="minorHAnsi"/>
        </w:rPr>
        <w:tab/>
      </w:r>
      <w:r w:rsidR="005157D2" w:rsidRPr="006664D1">
        <w:rPr>
          <w:rFonts w:asciiTheme="minorHAnsi" w:hAnsiTheme="minorHAnsi"/>
        </w:rPr>
        <w:t>Multivariate analysis requirements</w:t>
      </w:r>
    </w:p>
    <w:p w14:paraId="03C38DCE" w14:textId="77777777" w:rsidR="0061444D" w:rsidRDefault="0061444D" w:rsidP="00AF0142">
      <w:pPr>
        <w:jc w:val="both"/>
      </w:pPr>
    </w:p>
    <w:p w14:paraId="2047BB8F" w14:textId="5D959338" w:rsidR="005157D2" w:rsidRPr="006664D1" w:rsidRDefault="005157D2" w:rsidP="00AF0142">
      <w:pPr>
        <w:jc w:val="both"/>
      </w:pPr>
      <w:r w:rsidRPr="006664D1">
        <w:t xml:space="preserve">As user engagement progresses and we begin to understand more about the residual survey requirements, it will be important to work out the required sample size for the “master wave” that will satisfy sub-sampling and longitudinal requirements, with unbiased estimates and small variance. It will also be necessary to consider the ‘construction’ of our </w:t>
      </w:r>
      <w:r w:rsidR="00F77E7A">
        <w:t>IPACS</w:t>
      </w:r>
      <w:r w:rsidRPr="006664D1">
        <w:t>. For example, whether we will follow the approach described by Karlberg (2015) (i.e. the ‘instrument’ and ‘module’ approach) or an alternative.</w:t>
      </w:r>
    </w:p>
    <w:p w14:paraId="7AF3306B" w14:textId="43162C8F" w:rsidR="005157D2" w:rsidRDefault="00105200" w:rsidP="00AF0142">
      <w:pPr>
        <w:pStyle w:val="Heading2"/>
        <w:jc w:val="both"/>
        <w:rPr>
          <w:rFonts w:asciiTheme="minorHAnsi" w:hAnsiTheme="minorHAnsi"/>
        </w:rPr>
      </w:pPr>
      <w:r>
        <w:rPr>
          <w:rFonts w:asciiTheme="minorHAnsi" w:hAnsiTheme="minorHAnsi"/>
        </w:rPr>
        <w:lastRenderedPageBreak/>
        <w:t>4.7</w:t>
      </w:r>
      <w:r>
        <w:rPr>
          <w:rFonts w:asciiTheme="minorHAnsi" w:hAnsiTheme="minorHAnsi"/>
        </w:rPr>
        <w:tab/>
      </w:r>
      <w:r w:rsidR="005157D2" w:rsidRPr="006664D1">
        <w:rPr>
          <w:rFonts w:asciiTheme="minorHAnsi" w:hAnsiTheme="minorHAnsi"/>
        </w:rPr>
        <w:t>Communal Establishments</w:t>
      </w:r>
    </w:p>
    <w:p w14:paraId="2A567FDE" w14:textId="77777777" w:rsidR="0061444D" w:rsidRPr="00E85189" w:rsidRDefault="0061444D" w:rsidP="00AF0142">
      <w:pPr>
        <w:jc w:val="both"/>
      </w:pPr>
    </w:p>
    <w:p w14:paraId="1F362A1A" w14:textId="03E87345" w:rsidR="00A0782A" w:rsidRDefault="005157D2" w:rsidP="00AF0142">
      <w:pPr>
        <w:jc w:val="both"/>
      </w:pPr>
      <w:r w:rsidRPr="006664D1">
        <w:t xml:space="preserve">Sampling the Communal Establishment (CE) population is an essential requirement for Population &amp; Migration Statistics. Information on CEs is currently collected via the Census every 10 years through the building </w:t>
      </w:r>
      <w:r w:rsidR="00F843AB">
        <w:t xml:space="preserve">of </w:t>
      </w:r>
      <w:r w:rsidRPr="006664D1">
        <w:t>its</w:t>
      </w:r>
      <w:r w:rsidR="00275019">
        <w:t xml:space="preserve"> </w:t>
      </w:r>
      <w:r w:rsidRPr="006664D1">
        <w:t xml:space="preserve">own CE address register, a costly and time-consuming exercise. The CE </w:t>
      </w:r>
      <w:r w:rsidR="00275019" w:rsidRPr="006664D1">
        <w:t xml:space="preserve">population </w:t>
      </w:r>
      <w:r w:rsidR="00275019">
        <w:t>is</w:t>
      </w:r>
      <w:r w:rsidRPr="006664D1">
        <w:t xml:space="preserve"> not currently captured in ONS Social Surveys. In 2008 ONS conducted a pilot Communal Establishment Survey. However, the pilot found considerable difficulties in identifying CEs as there was lack of an adequate sampling frame at the time. Furthermore, the practical difficulties of accessing respondents within the CEs resulted in an unacceptable level of non-response. However, it would be worth re-visiting this approach </w:t>
      </w:r>
      <w:r w:rsidR="00F843AB">
        <w:t xml:space="preserve">based on </w:t>
      </w:r>
      <w:r w:rsidRPr="006664D1">
        <w:t>Address</w:t>
      </w:r>
      <w:r w:rsidR="00215381" w:rsidRPr="006664D1">
        <w:t>B</w:t>
      </w:r>
      <w:r w:rsidRPr="006664D1">
        <w:t>ase and alternative survey modes.</w:t>
      </w:r>
    </w:p>
    <w:p w14:paraId="40C8F563" w14:textId="103B58D1" w:rsidR="0061444D" w:rsidRDefault="00105200" w:rsidP="00AF0142">
      <w:pPr>
        <w:pStyle w:val="Heading2"/>
        <w:jc w:val="both"/>
        <w:rPr>
          <w:rFonts w:asciiTheme="minorHAnsi" w:hAnsiTheme="minorHAnsi"/>
        </w:rPr>
      </w:pPr>
      <w:r>
        <w:rPr>
          <w:rFonts w:asciiTheme="minorHAnsi" w:hAnsiTheme="minorHAnsi"/>
        </w:rPr>
        <w:t>4.8</w:t>
      </w:r>
      <w:r>
        <w:rPr>
          <w:rFonts w:asciiTheme="minorHAnsi" w:hAnsiTheme="minorHAnsi"/>
        </w:rPr>
        <w:tab/>
      </w:r>
      <w:r w:rsidR="0061444D">
        <w:rPr>
          <w:rFonts w:asciiTheme="minorHAnsi" w:hAnsiTheme="minorHAnsi"/>
        </w:rPr>
        <w:t>Estimation Framework</w:t>
      </w:r>
    </w:p>
    <w:p w14:paraId="5172BE12" w14:textId="77777777" w:rsidR="0061444D" w:rsidRPr="00E85189" w:rsidRDefault="0061444D" w:rsidP="00AF0142">
      <w:pPr>
        <w:jc w:val="both"/>
      </w:pPr>
    </w:p>
    <w:p w14:paraId="079ABF90" w14:textId="75DFF37E" w:rsidR="00A0782A" w:rsidRDefault="0061444D" w:rsidP="00AF0142">
      <w:pPr>
        <w:jc w:val="both"/>
      </w:pPr>
      <w:r>
        <w:t>We are yet to determine the estimation framework for producing admin-based population estimates. A review of methods is in progress, largely focusing on variants of DSE. While measures of variance can be obtained from the survey, we still need to consider methods for bias assessment. We also need to consider the impact of linkage errors, both in constructing the SPD and linking the SPD to the integrated survey. Similar to the requirement for very high-quality Census and CCS matching, our assumption is that linkage between the SPD and the survey will need to be undertaken with very few false positives or false negatives minimum errors. This may be more difficult to achieve with lags on administrative records regarding people’s address information.</w:t>
      </w:r>
    </w:p>
    <w:p w14:paraId="14037058" w14:textId="7BEC4AE9" w:rsidR="00105200" w:rsidRDefault="00105200" w:rsidP="00C94F51">
      <w:pPr>
        <w:pStyle w:val="Heading2"/>
        <w:jc w:val="both"/>
        <w:rPr>
          <w:rFonts w:asciiTheme="minorHAnsi" w:hAnsiTheme="minorHAnsi"/>
        </w:rPr>
      </w:pPr>
      <w:r>
        <w:rPr>
          <w:rFonts w:asciiTheme="minorHAnsi" w:hAnsiTheme="minorHAnsi"/>
        </w:rPr>
        <w:t>4.9</w:t>
      </w:r>
      <w:r>
        <w:rPr>
          <w:rFonts w:asciiTheme="minorHAnsi" w:hAnsiTheme="minorHAnsi"/>
        </w:rPr>
        <w:tab/>
      </w:r>
      <w:r w:rsidR="009E5875">
        <w:rPr>
          <w:rFonts w:asciiTheme="minorHAnsi" w:hAnsiTheme="minorHAnsi"/>
        </w:rPr>
        <w:t>Summary</w:t>
      </w:r>
    </w:p>
    <w:p w14:paraId="367AA65D" w14:textId="77777777" w:rsidR="00C94F51" w:rsidRDefault="00C94F51" w:rsidP="00105200"/>
    <w:p w14:paraId="2FB63077" w14:textId="53749E4D" w:rsidR="009523DC" w:rsidRDefault="009523DC" w:rsidP="00105200">
      <w:r>
        <w:t>The IPACS</w:t>
      </w:r>
      <w:r w:rsidR="00C94F51">
        <w:t xml:space="preserve"> is a </w:t>
      </w:r>
      <w:r>
        <w:t>central</w:t>
      </w:r>
      <w:r w:rsidR="00C94F51">
        <w:t xml:space="preserve"> part of plans to transform social surveys at ONS</w:t>
      </w:r>
      <w:r w:rsidR="00956BBC">
        <w:t>. While there is considerable focus on modernising the collection of social surveys to support the ONS ‘admin data first’ approach, the decision to</w:t>
      </w:r>
      <w:r w:rsidR="004D2CF6">
        <w:t xml:space="preserve"> move towards a multi-purpose survey that combines LFS topics with </w:t>
      </w:r>
      <w:r>
        <w:t xml:space="preserve">new requirements for </w:t>
      </w:r>
      <w:r w:rsidR="004D2CF6">
        <w:t>coverage assessment poses significant methodological challenges. A robust test plan is needed to prove the viability of the survey and provide the necessary evidence to support the recommendation for future Censuses in England and Wales which will be made in 2023.</w:t>
      </w:r>
    </w:p>
    <w:p w14:paraId="63AF53E8" w14:textId="6A51677E" w:rsidR="00956BBC" w:rsidRPr="00105200" w:rsidRDefault="009523DC" w:rsidP="00105200">
      <w:r>
        <w:t xml:space="preserve">We are currently aiming to commence testing for a parallel run in 2020, with the IPACS running concurrently with the existing LFS. The IPACS test will need to start relatively small in 2020, with the aim of collecting sufficient data to produce research outputs on admin based population estimates at the national level. Between 2020 and 2023 the IPACS will gradually increase up to full scale, with 500,000 households sampled per annum. In addition to the methodological challenges described in this paper, the operational delivery of a test of this magnitude also presents a challenge. We are exploring options for delivering the operational systems </w:t>
      </w:r>
      <w:r w:rsidR="00D100D3">
        <w:t xml:space="preserve">needed to support </w:t>
      </w:r>
      <w:r>
        <w:t>collection a</w:t>
      </w:r>
      <w:r w:rsidR="00D100D3">
        <w:t>s well as the strategy for increasing the level of field force capacity needed to run two large surveys concurrently over a three year period.</w:t>
      </w:r>
    </w:p>
    <w:p w14:paraId="1EF3A407" w14:textId="03DD0F86" w:rsidR="00D46A65" w:rsidRDefault="00A0782A" w:rsidP="00AF0142">
      <w:pPr>
        <w:pStyle w:val="Heading1"/>
        <w:jc w:val="both"/>
      </w:pPr>
      <w:r>
        <w:t>References</w:t>
      </w:r>
    </w:p>
    <w:p w14:paraId="6F80D374" w14:textId="77777777" w:rsidR="00A0782A" w:rsidRDefault="00A0782A" w:rsidP="00AF0142">
      <w:pPr>
        <w:jc w:val="both"/>
      </w:pPr>
    </w:p>
    <w:p w14:paraId="52A9280C" w14:textId="13DF104B" w:rsidR="00A0782A" w:rsidRPr="00A0782A" w:rsidRDefault="00A0782A" w:rsidP="00AF0142">
      <w:pPr>
        <w:jc w:val="both"/>
      </w:pPr>
      <w:r w:rsidRPr="00A0782A">
        <w:t xml:space="preserve">Karlberg, M., Reis, F., Calizzani, C., &amp; Gras, F. (2015). </w:t>
      </w:r>
      <w:r w:rsidRPr="00A0782A">
        <w:rPr>
          <w:i/>
        </w:rPr>
        <w:t>“A toolbox for a modular design and pooled analysis of sample survey programmes</w:t>
      </w:r>
      <w:r w:rsidRPr="00A0782A">
        <w:t>”. Statistical Journal of the IAOS, 31, 447-462</w:t>
      </w:r>
    </w:p>
    <w:p w14:paraId="65946CC1" w14:textId="77777777" w:rsidR="00C94F51" w:rsidRDefault="00A0782A" w:rsidP="00C94F51">
      <w:pPr>
        <w:pStyle w:val="EndnoteText"/>
        <w:jc w:val="both"/>
        <w:rPr>
          <w:sz w:val="22"/>
          <w:szCs w:val="22"/>
        </w:rPr>
      </w:pPr>
      <w:r w:rsidRPr="00A0782A">
        <w:rPr>
          <w:sz w:val="22"/>
          <w:szCs w:val="22"/>
        </w:rPr>
        <w:lastRenderedPageBreak/>
        <w:t>Hall, Gibbs, Carter, Das, You, Minshall (2017) “</w:t>
      </w:r>
      <w:r w:rsidRPr="00A0782A">
        <w:rPr>
          <w:i/>
          <w:sz w:val="22"/>
          <w:szCs w:val="22"/>
        </w:rPr>
        <w:t>Options for integrating Statistics New Zealand’s household surveys with a large-scale attribute survey</w:t>
      </w:r>
      <w:r w:rsidRPr="00A0782A">
        <w:rPr>
          <w:sz w:val="22"/>
          <w:szCs w:val="22"/>
        </w:rPr>
        <w:t>”</w:t>
      </w:r>
    </w:p>
    <w:p w14:paraId="0171E21F" w14:textId="19111A96" w:rsidR="00A0782A" w:rsidRPr="00C94F51" w:rsidRDefault="00C94F51" w:rsidP="00C94F51">
      <w:pPr>
        <w:pStyle w:val="EndnoteText"/>
        <w:jc w:val="both"/>
        <w:rPr>
          <w:sz w:val="22"/>
          <w:szCs w:val="22"/>
        </w:rPr>
      </w:pPr>
      <w:r>
        <w:tab/>
      </w:r>
    </w:p>
    <w:p w14:paraId="0537D9A9" w14:textId="77777777" w:rsidR="00C94F51" w:rsidRPr="00260FCA" w:rsidRDefault="00C94F51" w:rsidP="00C94F51">
      <w:pPr>
        <w:shd w:val="clear" w:color="auto" w:fill="FFFFFF"/>
        <w:spacing w:after="0" w:line="240" w:lineRule="auto"/>
        <w:rPr>
          <w:rFonts w:ascii="Times New Roman" w:eastAsia="Times New Roman" w:hAnsi="Times New Roman" w:cs="Times New Roman"/>
          <w:lang w:eastAsia="en-GB"/>
        </w:rPr>
      </w:pPr>
      <w:r w:rsidRPr="00956BBC">
        <w:rPr>
          <w:rFonts w:cs="Times New Roman"/>
          <w:bdr w:val="none" w:sz="0" w:space="0" w:color="auto" w:frame="1"/>
          <w:shd w:val="clear" w:color="auto" w:fill="FFFFFF"/>
        </w:rPr>
        <w:t>Predicting patterns of household non-response in the 2011census, ONS (2011),</w:t>
      </w:r>
      <w:r w:rsidRPr="00260FCA">
        <w:rPr>
          <w:rFonts w:ascii="Times New Roman" w:hAnsi="Times New Roman" w:cs="Times New Roman"/>
          <w:bdr w:val="none" w:sz="0" w:space="0" w:color="auto" w:frame="1"/>
          <w:shd w:val="clear" w:color="auto" w:fill="FFFFFF"/>
        </w:rPr>
        <w:t xml:space="preserve"> </w:t>
      </w:r>
      <w:hyperlink r:id="rId19" w:history="1">
        <w:r w:rsidRPr="00260FCA">
          <w:rPr>
            <w:rStyle w:val="Hyperlink"/>
            <w:rFonts w:ascii="Times New Roman" w:hAnsi="Times New Roman" w:cs="Times New Roman"/>
          </w:rPr>
          <w:t>http://www.ons.gov.uk/ons/guide-method/census/2011/the-2011-census/processing-the-information/statistical-methodology/predicting-patterns-of-household-non-response-in-the-2011-census.pdf</w:t>
        </w:r>
      </w:hyperlink>
    </w:p>
    <w:p w14:paraId="3A5FB88D" w14:textId="77777777" w:rsidR="00C94F51" w:rsidRDefault="00C94F51" w:rsidP="00C94F51">
      <w:pPr>
        <w:tabs>
          <w:tab w:val="left" w:pos="5628"/>
        </w:tabs>
        <w:jc w:val="both"/>
      </w:pPr>
    </w:p>
    <w:p w14:paraId="58012BE0" w14:textId="77777777" w:rsidR="00A0782A" w:rsidRDefault="00A0782A" w:rsidP="00AF0142">
      <w:pPr>
        <w:jc w:val="both"/>
      </w:pPr>
    </w:p>
    <w:p w14:paraId="0033A2E4" w14:textId="356EECDB" w:rsidR="008B739F" w:rsidRDefault="008B739F" w:rsidP="00AF0142">
      <w:pPr>
        <w:jc w:val="both"/>
      </w:pPr>
    </w:p>
    <w:p w14:paraId="7B8170C3" w14:textId="2FCFD590" w:rsidR="00D46A65" w:rsidRDefault="00D46A65" w:rsidP="00AF0142">
      <w:pPr>
        <w:jc w:val="both"/>
      </w:pPr>
    </w:p>
    <w:p w14:paraId="5340BE5E" w14:textId="77777777" w:rsidR="00D46A65" w:rsidRPr="006664D1" w:rsidRDefault="00D46A65" w:rsidP="00AF0142">
      <w:pPr>
        <w:jc w:val="both"/>
      </w:pPr>
    </w:p>
    <w:sectPr w:rsidR="00D46A65" w:rsidRPr="006664D1">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16928" w14:textId="77777777" w:rsidR="001C2377" w:rsidRDefault="001C2377" w:rsidP="00F6799C">
      <w:pPr>
        <w:spacing w:after="0" w:line="240" w:lineRule="auto"/>
      </w:pPr>
      <w:r>
        <w:separator/>
      </w:r>
    </w:p>
  </w:endnote>
  <w:endnote w:type="continuationSeparator" w:id="0">
    <w:p w14:paraId="6E6A22BF" w14:textId="77777777" w:rsidR="001C2377" w:rsidRDefault="001C2377" w:rsidP="00F6799C">
      <w:pPr>
        <w:spacing w:after="0" w:line="240" w:lineRule="auto"/>
      </w:pPr>
      <w:r>
        <w:continuationSeparator/>
      </w:r>
    </w:p>
  </w:endnote>
  <w:endnote w:type="continuationNotice" w:id="1">
    <w:p w14:paraId="1161FD80" w14:textId="77777777" w:rsidR="001C2377" w:rsidRDefault="001C2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MR12">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5A2E" w14:textId="77777777" w:rsidR="003D3E12" w:rsidRDefault="003D3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7DC8B" w14:textId="77777777" w:rsidR="001C2377" w:rsidRDefault="001C2377" w:rsidP="00F6799C">
      <w:pPr>
        <w:spacing w:after="0" w:line="240" w:lineRule="auto"/>
      </w:pPr>
      <w:r>
        <w:separator/>
      </w:r>
    </w:p>
  </w:footnote>
  <w:footnote w:type="continuationSeparator" w:id="0">
    <w:p w14:paraId="0F0DCE4A" w14:textId="77777777" w:rsidR="001C2377" w:rsidRDefault="001C2377" w:rsidP="00F6799C">
      <w:pPr>
        <w:spacing w:after="0" w:line="240" w:lineRule="auto"/>
      </w:pPr>
      <w:r>
        <w:continuationSeparator/>
      </w:r>
    </w:p>
  </w:footnote>
  <w:footnote w:type="continuationNotice" w:id="1">
    <w:p w14:paraId="304E7398" w14:textId="77777777" w:rsidR="001C2377" w:rsidRDefault="001C2377">
      <w:pPr>
        <w:spacing w:after="0" w:line="240" w:lineRule="auto"/>
      </w:pPr>
    </w:p>
  </w:footnote>
  <w:footnote w:id="2">
    <w:p w14:paraId="56598508" w14:textId="5F4C159B" w:rsidR="00152D3F" w:rsidRDefault="00152D3F">
      <w:pPr>
        <w:pStyle w:val="FootnoteText"/>
      </w:pPr>
      <w:r>
        <w:rPr>
          <w:rStyle w:val="FootnoteReference"/>
        </w:rPr>
        <w:footnoteRef/>
      </w:r>
      <w:r>
        <w:t xml:space="preserve"> Uptake rate is defined as the </w:t>
      </w:r>
      <w:r w:rsidR="00AE2B02">
        <w:t xml:space="preserve">proportion of households who enter any amount of data into the online collection instrument (all partial household completions and full household completions).  </w:t>
      </w:r>
      <w:r w:rsidR="00254ACD">
        <w:t xml:space="preserve">This is different to response rate which </w:t>
      </w:r>
      <w:r w:rsidR="00CC6B8E">
        <w:t xml:space="preserve">includes </w:t>
      </w:r>
      <w:r w:rsidR="00AE2B02">
        <w:t>The uptake rate calculation excludes ineligible households.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3428" w14:textId="77777777" w:rsidR="003D3E12" w:rsidRDefault="003D3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1" w15:restartNumberingAfterBreak="0">
    <w:nsid w:val="062267A0"/>
    <w:multiLevelType w:val="hybridMultilevel"/>
    <w:tmpl w:val="7E06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12690"/>
    <w:multiLevelType w:val="hybridMultilevel"/>
    <w:tmpl w:val="3554247C"/>
    <w:lvl w:ilvl="0" w:tplc="08006768">
      <w:start w:val="1"/>
      <w:numFmt w:val="bullet"/>
      <w:lvlText w:val="•"/>
      <w:lvlJc w:val="left"/>
      <w:pPr>
        <w:tabs>
          <w:tab w:val="num" w:pos="720"/>
        </w:tabs>
        <w:ind w:left="720" w:hanging="360"/>
      </w:pPr>
      <w:rPr>
        <w:rFonts w:ascii="Arial" w:hAnsi="Arial" w:hint="default"/>
      </w:rPr>
    </w:lvl>
    <w:lvl w:ilvl="1" w:tplc="65A00B36">
      <w:start w:val="80"/>
      <w:numFmt w:val="bullet"/>
      <w:lvlText w:val="-"/>
      <w:lvlJc w:val="left"/>
      <w:pPr>
        <w:tabs>
          <w:tab w:val="num" w:pos="1440"/>
        </w:tabs>
        <w:ind w:left="1440" w:hanging="360"/>
      </w:pPr>
      <w:rPr>
        <w:rFonts w:ascii="Times New Roman" w:hAnsi="Times New Roman" w:hint="default"/>
      </w:rPr>
    </w:lvl>
    <w:lvl w:ilvl="2" w:tplc="7F9CF0F0" w:tentative="1">
      <w:start w:val="1"/>
      <w:numFmt w:val="bullet"/>
      <w:lvlText w:val="•"/>
      <w:lvlJc w:val="left"/>
      <w:pPr>
        <w:tabs>
          <w:tab w:val="num" w:pos="2160"/>
        </w:tabs>
        <w:ind w:left="2160" w:hanging="360"/>
      </w:pPr>
      <w:rPr>
        <w:rFonts w:ascii="Arial" w:hAnsi="Arial" w:hint="default"/>
      </w:rPr>
    </w:lvl>
    <w:lvl w:ilvl="3" w:tplc="D90E76B6" w:tentative="1">
      <w:start w:val="1"/>
      <w:numFmt w:val="bullet"/>
      <w:lvlText w:val="•"/>
      <w:lvlJc w:val="left"/>
      <w:pPr>
        <w:tabs>
          <w:tab w:val="num" w:pos="2880"/>
        </w:tabs>
        <w:ind w:left="2880" w:hanging="360"/>
      </w:pPr>
      <w:rPr>
        <w:rFonts w:ascii="Arial" w:hAnsi="Arial" w:hint="default"/>
      </w:rPr>
    </w:lvl>
    <w:lvl w:ilvl="4" w:tplc="8D2C42CC" w:tentative="1">
      <w:start w:val="1"/>
      <w:numFmt w:val="bullet"/>
      <w:lvlText w:val="•"/>
      <w:lvlJc w:val="left"/>
      <w:pPr>
        <w:tabs>
          <w:tab w:val="num" w:pos="3600"/>
        </w:tabs>
        <w:ind w:left="3600" w:hanging="360"/>
      </w:pPr>
      <w:rPr>
        <w:rFonts w:ascii="Arial" w:hAnsi="Arial" w:hint="default"/>
      </w:rPr>
    </w:lvl>
    <w:lvl w:ilvl="5" w:tplc="01BE3482" w:tentative="1">
      <w:start w:val="1"/>
      <w:numFmt w:val="bullet"/>
      <w:lvlText w:val="•"/>
      <w:lvlJc w:val="left"/>
      <w:pPr>
        <w:tabs>
          <w:tab w:val="num" w:pos="4320"/>
        </w:tabs>
        <w:ind w:left="4320" w:hanging="360"/>
      </w:pPr>
      <w:rPr>
        <w:rFonts w:ascii="Arial" w:hAnsi="Arial" w:hint="default"/>
      </w:rPr>
    </w:lvl>
    <w:lvl w:ilvl="6" w:tplc="EE58675A" w:tentative="1">
      <w:start w:val="1"/>
      <w:numFmt w:val="bullet"/>
      <w:lvlText w:val="•"/>
      <w:lvlJc w:val="left"/>
      <w:pPr>
        <w:tabs>
          <w:tab w:val="num" w:pos="5040"/>
        </w:tabs>
        <w:ind w:left="5040" w:hanging="360"/>
      </w:pPr>
      <w:rPr>
        <w:rFonts w:ascii="Arial" w:hAnsi="Arial" w:hint="default"/>
      </w:rPr>
    </w:lvl>
    <w:lvl w:ilvl="7" w:tplc="46C2E36A" w:tentative="1">
      <w:start w:val="1"/>
      <w:numFmt w:val="bullet"/>
      <w:lvlText w:val="•"/>
      <w:lvlJc w:val="left"/>
      <w:pPr>
        <w:tabs>
          <w:tab w:val="num" w:pos="5760"/>
        </w:tabs>
        <w:ind w:left="5760" w:hanging="360"/>
      </w:pPr>
      <w:rPr>
        <w:rFonts w:ascii="Arial" w:hAnsi="Arial" w:hint="default"/>
      </w:rPr>
    </w:lvl>
    <w:lvl w:ilvl="8" w:tplc="FFAAC4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246EE1"/>
    <w:multiLevelType w:val="hybridMultilevel"/>
    <w:tmpl w:val="F090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D79B9"/>
    <w:multiLevelType w:val="hybridMultilevel"/>
    <w:tmpl w:val="00C85B6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33529A"/>
    <w:multiLevelType w:val="hybridMultilevel"/>
    <w:tmpl w:val="24A2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92DC0"/>
    <w:multiLevelType w:val="hybridMultilevel"/>
    <w:tmpl w:val="A8E6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E144F"/>
    <w:multiLevelType w:val="hybridMultilevel"/>
    <w:tmpl w:val="DC7AF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E4E8A"/>
    <w:multiLevelType w:val="hybridMultilevel"/>
    <w:tmpl w:val="9C9CAC7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9" w15:restartNumberingAfterBreak="0">
    <w:nsid w:val="48B453B2"/>
    <w:multiLevelType w:val="hybridMultilevel"/>
    <w:tmpl w:val="0FAEE33A"/>
    <w:lvl w:ilvl="0" w:tplc="B548154E">
      <w:start w:val="1"/>
      <w:numFmt w:val="bullet"/>
      <w:lvlText w:val="•"/>
      <w:lvlJc w:val="left"/>
      <w:pPr>
        <w:tabs>
          <w:tab w:val="num" w:pos="720"/>
        </w:tabs>
        <w:ind w:left="720" w:hanging="360"/>
      </w:pPr>
      <w:rPr>
        <w:rFonts w:ascii="Times New Roman" w:hAnsi="Times New Roman" w:hint="default"/>
      </w:rPr>
    </w:lvl>
    <w:lvl w:ilvl="1" w:tplc="B75AA2F6" w:tentative="1">
      <w:start w:val="1"/>
      <w:numFmt w:val="bullet"/>
      <w:lvlText w:val="•"/>
      <w:lvlJc w:val="left"/>
      <w:pPr>
        <w:tabs>
          <w:tab w:val="num" w:pos="1440"/>
        </w:tabs>
        <w:ind w:left="1440" w:hanging="360"/>
      </w:pPr>
      <w:rPr>
        <w:rFonts w:ascii="Times New Roman" w:hAnsi="Times New Roman" w:hint="default"/>
      </w:rPr>
    </w:lvl>
    <w:lvl w:ilvl="2" w:tplc="52F4BD16" w:tentative="1">
      <w:start w:val="1"/>
      <w:numFmt w:val="bullet"/>
      <w:lvlText w:val="•"/>
      <w:lvlJc w:val="left"/>
      <w:pPr>
        <w:tabs>
          <w:tab w:val="num" w:pos="2160"/>
        </w:tabs>
        <w:ind w:left="2160" w:hanging="360"/>
      </w:pPr>
      <w:rPr>
        <w:rFonts w:ascii="Times New Roman" w:hAnsi="Times New Roman" w:hint="default"/>
      </w:rPr>
    </w:lvl>
    <w:lvl w:ilvl="3" w:tplc="A2DA01D4" w:tentative="1">
      <w:start w:val="1"/>
      <w:numFmt w:val="bullet"/>
      <w:lvlText w:val="•"/>
      <w:lvlJc w:val="left"/>
      <w:pPr>
        <w:tabs>
          <w:tab w:val="num" w:pos="2880"/>
        </w:tabs>
        <w:ind w:left="2880" w:hanging="360"/>
      </w:pPr>
      <w:rPr>
        <w:rFonts w:ascii="Times New Roman" w:hAnsi="Times New Roman" w:hint="default"/>
      </w:rPr>
    </w:lvl>
    <w:lvl w:ilvl="4" w:tplc="879A8F44" w:tentative="1">
      <w:start w:val="1"/>
      <w:numFmt w:val="bullet"/>
      <w:lvlText w:val="•"/>
      <w:lvlJc w:val="left"/>
      <w:pPr>
        <w:tabs>
          <w:tab w:val="num" w:pos="3600"/>
        </w:tabs>
        <w:ind w:left="3600" w:hanging="360"/>
      </w:pPr>
      <w:rPr>
        <w:rFonts w:ascii="Times New Roman" w:hAnsi="Times New Roman" w:hint="default"/>
      </w:rPr>
    </w:lvl>
    <w:lvl w:ilvl="5" w:tplc="995E49A2" w:tentative="1">
      <w:start w:val="1"/>
      <w:numFmt w:val="bullet"/>
      <w:lvlText w:val="•"/>
      <w:lvlJc w:val="left"/>
      <w:pPr>
        <w:tabs>
          <w:tab w:val="num" w:pos="4320"/>
        </w:tabs>
        <w:ind w:left="4320" w:hanging="360"/>
      </w:pPr>
      <w:rPr>
        <w:rFonts w:ascii="Times New Roman" w:hAnsi="Times New Roman" w:hint="default"/>
      </w:rPr>
    </w:lvl>
    <w:lvl w:ilvl="6" w:tplc="1A42AC1E" w:tentative="1">
      <w:start w:val="1"/>
      <w:numFmt w:val="bullet"/>
      <w:lvlText w:val="•"/>
      <w:lvlJc w:val="left"/>
      <w:pPr>
        <w:tabs>
          <w:tab w:val="num" w:pos="5040"/>
        </w:tabs>
        <w:ind w:left="5040" w:hanging="360"/>
      </w:pPr>
      <w:rPr>
        <w:rFonts w:ascii="Times New Roman" w:hAnsi="Times New Roman" w:hint="default"/>
      </w:rPr>
    </w:lvl>
    <w:lvl w:ilvl="7" w:tplc="6FF46798" w:tentative="1">
      <w:start w:val="1"/>
      <w:numFmt w:val="bullet"/>
      <w:lvlText w:val="•"/>
      <w:lvlJc w:val="left"/>
      <w:pPr>
        <w:tabs>
          <w:tab w:val="num" w:pos="5760"/>
        </w:tabs>
        <w:ind w:left="5760" w:hanging="360"/>
      </w:pPr>
      <w:rPr>
        <w:rFonts w:ascii="Times New Roman" w:hAnsi="Times New Roman" w:hint="default"/>
      </w:rPr>
    </w:lvl>
    <w:lvl w:ilvl="8" w:tplc="B832E44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FF0A29"/>
    <w:multiLevelType w:val="hybridMultilevel"/>
    <w:tmpl w:val="7BF4A518"/>
    <w:lvl w:ilvl="0" w:tplc="3E189E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42895"/>
    <w:multiLevelType w:val="hybridMultilevel"/>
    <w:tmpl w:val="B2304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95C16"/>
    <w:multiLevelType w:val="hybridMultilevel"/>
    <w:tmpl w:val="14206532"/>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5D4EEC"/>
    <w:multiLevelType w:val="hybridMultilevel"/>
    <w:tmpl w:val="0208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2E010A"/>
    <w:multiLevelType w:val="hybridMultilevel"/>
    <w:tmpl w:val="FFB69C2E"/>
    <w:lvl w:ilvl="0" w:tplc="01DA5DBA">
      <w:start w:val="1"/>
      <w:numFmt w:val="bullet"/>
      <w:lvlText w:val="•"/>
      <w:lvlJc w:val="left"/>
      <w:pPr>
        <w:tabs>
          <w:tab w:val="num" w:pos="720"/>
        </w:tabs>
        <w:ind w:left="720" w:hanging="360"/>
      </w:pPr>
      <w:rPr>
        <w:rFonts w:ascii="Times New Roman" w:hAnsi="Times New Roman" w:hint="default"/>
      </w:rPr>
    </w:lvl>
    <w:lvl w:ilvl="1" w:tplc="1CC04778">
      <w:start w:val="1"/>
      <w:numFmt w:val="bullet"/>
      <w:lvlText w:val="•"/>
      <w:lvlJc w:val="left"/>
      <w:pPr>
        <w:tabs>
          <w:tab w:val="num" w:pos="1440"/>
        </w:tabs>
        <w:ind w:left="1440" w:hanging="360"/>
      </w:pPr>
      <w:rPr>
        <w:rFonts w:ascii="Times New Roman" w:hAnsi="Times New Roman" w:hint="default"/>
      </w:rPr>
    </w:lvl>
    <w:lvl w:ilvl="2" w:tplc="57D01B2A" w:tentative="1">
      <w:start w:val="1"/>
      <w:numFmt w:val="bullet"/>
      <w:lvlText w:val="•"/>
      <w:lvlJc w:val="left"/>
      <w:pPr>
        <w:tabs>
          <w:tab w:val="num" w:pos="2160"/>
        </w:tabs>
        <w:ind w:left="2160" w:hanging="360"/>
      </w:pPr>
      <w:rPr>
        <w:rFonts w:ascii="Times New Roman" w:hAnsi="Times New Roman" w:hint="default"/>
      </w:rPr>
    </w:lvl>
    <w:lvl w:ilvl="3" w:tplc="7354CB76" w:tentative="1">
      <w:start w:val="1"/>
      <w:numFmt w:val="bullet"/>
      <w:lvlText w:val="•"/>
      <w:lvlJc w:val="left"/>
      <w:pPr>
        <w:tabs>
          <w:tab w:val="num" w:pos="2880"/>
        </w:tabs>
        <w:ind w:left="2880" w:hanging="360"/>
      </w:pPr>
      <w:rPr>
        <w:rFonts w:ascii="Times New Roman" w:hAnsi="Times New Roman" w:hint="default"/>
      </w:rPr>
    </w:lvl>
    <w:lvl w:ilvl="4" w:tplc="E640B328" w:tentative="1">
      <w:start w:val="1"/>
      <w:numFmt w:val="bullet"/>
      <w:lvlText w:val="•"/>
      <w:lvlJc w:val="left"/>
      <w:pPr>
        <w:tabs>
          <w:tab w:val="num" w:pos="3600"/>
        </w:tabs>
        <w:ind w:left="3600" w:hanging="360"/>
      </w:pPr>
      <w:rPr>
        <w:rFonts w:ascii="Times New Roman" w:hAnsi="Times New Roman" w:hint="default"/>
      </w:rPr>
    </w:lvl>
    <w:lvl w:ilvl="5" w:tplc="95429230" w:tentative="1">
      <w:start w:val="1"/>
      <w:numFmt w:val="bullet"/>
      <w:lvlText w:val="•"/>
      <w:lvlJc w:val="left"/>
      <w:pPr>
        <w:tabs>
          <w:tab w:val="num" w:pos="4320"/>
        </w:tabs>
        <w:ind w:left="4320" w:hanging="360"/>
      </w:pPr>
      <w:rPr>
        <w:rFonts w:ascii="Times New Roman" w:hAnsi="Times New Roman" w:hint="default"/>
      </w:rPr>
    </w:lvl>
    <w:lvl w:ilvl="6" w:tplc="E74A9732" w:tentative="1">
      <w:start w:val="1"/>
      <w:numFmt w:val="bullet"/>
      <w:lvlText w:val="•"/>
      <w:lvlJc w:val="left"/>
      <w:pPr>
        <w:tabs>
          <w:tab w:val="num" w:pos="5040"/>
        </w:tabs>
        <w:ind w:left="5040" w:hanging="360"/>
      </w:pPr>
      <w:rPr>
        <w:rFonts w:ascii="Times New Roman" w:hAnsi="Times New Roman" w:hint="default"/>
      </w:rPr>
    </w:lvl>
    <w:lvl w:ilvl="7" w:tplc="03D8B7E0" w:tentative="1">
      <w:start w:val="1"/>
      <w:numFmt w:val="bullet"/>
      <w:lvlText w:val="•"/>
      <w:lvlJc w:val="left"/>
      <w:pPr>
        <w:tabs>
          <w:tab w:val="num" w:pos="5760"/>
        </w:tabs>
        <w:ind w:left="5760" w:hanging="360"/>
      </w:pPr>
      <w:rPr>
        <w:rFonts w:ascii="Times New Roman" w:hAnsi="Times New Roman" w:hint="default"/>
      </w:rPr>
    </w:lvl>
    <w:lvl w:ilvl="8" w:tplc="91CA760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C5E7C0C"/>
    <w:multiLevelType w:val="hybridMultilevel"/>
    <w:tmpl w:val="7C52FBFE"/>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0"/>
  </w:num>
  <w:num w:numId="6">
    <w:abstractNumId w:val="3"/>
  </w:num>
  <w:num w:numId="7">
    <w:abstractNumId w:val="4"/>
  </w:num>
  <w:num w:numId="8">
    <w:abstractNumId w:val="7"/>
  </w:num>
  <w:num w:numId="9">
    <w:abstractNumId w:val="5"/>
  </w:num>
  <w:num w:numId="10">
    <w:abstractNumId w:val="14"/>
  </w:num>
  <w:num w:numId="11">
    <w:abstractNumId w:val="2"/>
  </w:num>
  <w:num w:numId="12">
    <w:abstractNumId w:val="9"/>
  </w:num>
  <w:num w:numId="13">
    <w:abstractNumId w:val="11"/>
  </w:num>
  <w:num w:numId="14">
    <w:abstractNumId w:val="1"/>
  </w:num>
  <w:num w:numId="15">
    <w:abstractNumId w:val="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33"/>
    <w:rsid w:val="00005B63"/>
    <w:rsid w:val="00011460"/>
    <w:rsid w:val="00014733"/>
    <w:rsid w:val="00017075"/>
    <w:rsid w:val="000207B3"/>
    <w:rsid w:val="00021A5B"/>
    <w:rsid w:val="00035CB6"/>
    <w:rsid w:val="00046253"/>
    <w:rsid w:val="00056896"/>
    <w:rsid w:val="00061F7A"/>
    <w:rsid w:val="000621F4"/>
    <w:rsid w:val="00073260"/>
    <w:rsid w:val="00080053"/>
    <w:rsid w:val="00083D91"/>
    <w:rsid w:val="0008655E"/>
    <w:rsid w:val="00093EC0"/>
    <w:rsid w:val="000A0FC1"/>
    <w:rsid w:val="000A7210"/>
    <w:rsid w:val="000B1F10"/>
    <w:rsid w:val="000B7C75"/>
    <w:rsid w:val="000C1504"/>
    <w:rsid w:val="000D3005"/>
    <w:rsid w:val="00105200"/>
    <w:rsid w:val="0010576F"/>
    <w:rsid w:val="00106C44"/>
    <w:rsid w:val="00112EBF"/>
    <w:rsid w:val="001201A2"/>
    <w:rsid w:val="00120AAC"/>
    <w:rsid w:val="00125ADA"/>
    <w:rsid w:val="00131BF5"/>
    <w:rsid w:val="001359C8"/>
    <w:rsid w:val="00136A09"/>
    <w:rsid w:val="0014613B"/>
    <w:rsid w:val="00152D3F"/>
    <w:rsid w:val="00154A1E"/>
    <w:rsid w:val="001559FA"/>
    <w:rsid w:val="00161144"/>
    <w:rsid w:val="001731FB"/>
    <w:rsid w:val="00184B27"/>
    <w:rsid w:val="0018784A"/>
    <w:rsid w:val="00190B6A"/>
    <w:rsid w:val="001A37DC"/>
    <w:rsid w:val="001A3CB8"/>
    <w:rsid w:val="001A6389"/>
    <w:rsid w:val="001B7567"/>
    <w:rsid w:val="001C10FB"/>
    <w:rsid w:val="001C2377"/>
    <w:rsid w:val="001C27D4"/>
    <w:rsid w:val="001E641C"/>
    <w:rsid w:val="001E7C8C"/>
    <w:rsid w:val="001F3572"/>
    <w:rsid w:val="001F6313"/>
    <w:rsid w:val="001F7159"/>
    <w:rsid w:val="002010FE"/>
    <w:rsid w:val="002060DF"/>
    <w:rsid w:val="00215381"/>
    <w:rsid w:val="0022764D"/>
    <w:rsid w:val="00236041"/>
    <w:rsid w:val="00243785"/>
    <w:rsid w:val="002516AB"/>
    <w:rsid w:val="00254ACD"/>
    <w:rsid w:val="00257F75"/>
    <w:rsid w:val="00263CC1"/>
    <w:rsid w:val="00273FF9"/>
    <w:rsid w:val="002747B9"/>
    <w:rsid w:val="00275019"/>
    <w:rsid w:val="00276E61"/>
    <w:rsid w:val="00286C22"/>
    <w:rsid w:val="002875C0"/>
    <w:rsid w:val="002A5F40"/>
    <w:rsid w:val="002B3AAA"/>
    <w:rsid w:val="002B7CAD"/>
    <w:rsid w:val="002C0EFE"/>
    <w:rsid w:val="002C2E43"/>
    <w:rsid w:val="002C6559"/>
    <w:rsid w:val="002E04F0"/>
    <w:rsid w:val="002E3BAF"/>
    <w:rsid w:val="002E4D50"/>
    <w:rsid w:val="002E5305"/>
    <w:rsid w:val="003008D3"/>
    <w:rsid w:val="0031491B"/>
    <w:rsid w:val="00314F81"/>
    <w:rsid w:val="00317B03"/>
    <w:rsid w:val="003314F9"/>
    <w:rsid w:val="003319C1"/>
    <w:rsid w:val="0034338F"/>
    <w:rsid w:val="00347E29"/>
    <w:rsid w:val="003533DD"/>
    <w:rsid w:val="00375D9E"/>
    <w:rsid w:val="003819BC"/>
    <w:rsid w:val="00381DBF"/>
    <w:rsid w:val="003940F9"/>
    <w:rsid w:val="003A14AD"/>
    <w:rsid w:val="003A3CE0"/>
    <w:rsid w:val="003B49F6"/>
    <w:rsid w:val="003C34D3"/>
    <w:rsid w:val="003D3E12"/>
    <w:rsid w:val="003D6D69"/>
    <w:rsid w:val="003E1720"/>
    <w:rsid w:val="003E4C48"/>
    <w:rsid w:val="003E5838"/>
    <w:rsid w:val="003F045A"/>
    <w:rsid w:val="00401643"/>
    <w:rsid w:val="00403F29"/>
    <w:rsid w:val="00416C4B"/>
    <w:rsid w:val="00421E80"/>
    <w:rsid w:val="00425328"/>
    <w:rsid w:val="004259D1"/>
    <w:rsid w:val="0043771E"/>
    <w:rsid w:val="004417B8"/>
    <w:rsid w:val="00447000"/>
    <w:rsid w:val="00472E22"/>
    <w:rsid w:val="00474120"/>
    <w:rsid w:val="00474CCB"/>
    <w:rsid w:val="0047746F"/>
    <w:rsid w:val="00482D03"/>
    <w:rsid w:val="00485FE0"/>
    <w:rsid w:val="004923AE"/>
    <w:rsid w:val="00496039"/>
    <w:rsid w:val="004A3C46"/>
    <w:rsid w:val="004A57FB"/>
    <w:rsid w:val="004B12FD"/>
    <w:rsid w:val="004B326F"/>
    <w:rsid w:val="004B7165"/>
    <w:rsid w:val="004C2C23"/>
    <w:rsid w:val="004C2FFF"/>
    <w:rsid w:val="004D1011"/>
    <w:rsid w:val="004D2CF6"/>
    <w:rsid w:val="004D3629"/>
    <w:rsid w:val="004D63C4"/>
    <w:rsid w:val="004E40DB"/>
    <w:rsid w:val="004F3737"/>
    <w:rsid w:val="004F51D7"/>
    <w:rsid w:val="00503313"/>
    <w:rsid w:val="00505918"/>
    <w:rsid w:val="00507C32"/>
    <w:rsid w:val="005109E7"/>
    <w:rsid w:val="005157D2"/>
    <w:rsid w:val="005271AE"/>
    <w:rsid w:val="00527B0F"/>
    <w:rsid w:val="0053131F"/>
    <w:rsid w:val="0053155C"/>
    <w:rsid w:val="0053174D"/>
    <w:rsid w:val="005406CA"/>
    <w:rsid w:val="0054796C"/>
    <w:rsid w:val="00552A42"/>
    <w:rsid w:val="00554153"/>
    <w:rsid w:val="0055786A"/>
    <w:rsid w:val="00565019"/>
    <w:rsid w:val="00565E0E"/>
    <w:rsid w:val="00567406"/>
    <w:rsid w:val="00570790"/>
    <w:rsid w:val="005733CF"/>
    <w:rsid w:val="00573FC2"/>
    <w:rsid w:val="00591BC7"/>
    <w:rsid w:val="005A0C6D"/>
    <w:rsid w:val="005A66C3"/>
    <w:rsid w:val="005C018A"/>
    <w:rsid w:val="005C0C9B"/>
    <w:rsid w:val="005C55BC"/>
    <w:rsid w:val="005C66B8"/>
    <w:rsid w:val="005C66CA"/>
    <w:rsid w:val="005D2C4A"/>
    <w:rsid w:val="005E2EBF"/>
    <w:rsid w:val="005E760D"/>
    <w:rsid w:val="005F5C49"/>
    <w:rsid w:val="00603DF1"/>
    <w:rsid w:val="00607F2B"/>
    <w:rsid w:val="0061219E"/>
    <w:rsid w:val="0061444D"/>
    <w:rsid w:val="00615734"/>
    <w:rsid w:val="00615E7D"/>
    <w:rsid w:val="00620C19"/>
    <w:rsid w:val="00621939"/>
    <w:rsid w:val="0062487A"/>
    <w:rsid w:val="006314DA"/>
    <w:rsid w:val="00636E8D"/>
    <w:rsid w:val="006540B1"/>
    <w:rsid w:val="0065416D"/>
    <w:rsid w:val="00664124"/>
    <w:rsid w:val="006664D1"/>
    <w:rsid w:val="006670AA"/>
    <w:rsid w:val="00673A62"/>
    <w:rsid w:val="00682F6C"/>
    <w:rsid w:val="00683CD6"/>
    <w:rsid w:val="00683F49"/>
    <w:rsid w:val="006854D9"/>
    <w:rsid w:val="006973D3"/>
    <w:rsid w:val="006A3C91"/>
    <w:rsid w:val="006A55C9"/>
    <w:rsid w:val="006C255E"/>
    <w:rsid w:val="006C7CE4"/>
    <w:rsid w:val="006D4B81"/>
    <w:rsid w:val="006E6312"/>
    <w:rsid w:val="006F1A52"/>
    <w:rsid w:val="007062A9"/>
    <w:rsid w:val="00710C14"/>
    <w:rsid w:val="00711644"/>
    <w:rsid w:val="00711B91"/>
    <w:rsid w:val="0072270C"/>
    <w:rsid w:val="0072424B"/>
    <w:rsid w:val="007307E2"/>
    <w:rsid w:val="00731282"/>
    <w:rsid w:val="007334BE"/>
    <w:rsid w:val="00735744"/>
    <w:rsid w:val="0074181F"/>
    <w:rsid w:val="00750933"/>
    <w:rsid w:val="007534EB"/>
    <w:rsid w:val="0075481E"/>
    <w:rsid w:val="007560BC"/>
    <w:rsid w:val="0076229E"/>
    <w:rsid w:val="007663BA"/>
    <w:rsid w:val="007A2978"/>
    <w:rsid w:val="007A2EB9"/>
    <w:rsid w:val="007B1142"/>
    <w:rsid w:val="007B376F"/>
    <w:rsid w:val="007B697F"/>
    <w:rsid w:val="007C21ED"/>
    <w:rsid w:val="007D08C2"/>
    <w:rsid w:val="007E11BA"/>
    <w:rsid w:val="007E1829"/>
    <w:rsid w:val="007E3760"/>
    <w:rsid w:val="007E3B3F"/>
    <w:rsid w:val="007E6346"/>
    <w:rsid w:val="007E7D74"/>
    <w:rsid w:val="0081029A"/>
    <w:rsid w:val="00815178"/>
    <w:rsid w:val="00822B70"/>
    <w:rsid w:val="00825D34"/>
    <w:rsid w:val="00825D47"/>
    <w:rsid w:val="0083096A"/>
    <w:rsid w:val="00832106"/>
    <w:rsid w:val="00832BC2"/>
    <w:rsid w:val="00842A42"/>
    <w:rsid w:val="00847AB3"/>
    <w:rsid w:val="0086107A"/>
    <w:rsid w:val="0087303A"/>
    <w:rsid w:val="00874F3E"/>
    <w:rsid w:val="008753B7"/>
    <w:rsid w:val="00884FF6"/>
    <w:rsid w:val="008910F0"/>
    <w:rsid w:val="008946B5"/>
    <w:rsid w:val="00896E8C"/>
    <w:rsid w:val="008B3C72"/>
    <w:rsid w:val="008B4F26"/>
    <w:rsid w:val="008B54F2"/>
    <w:rsid w:val="008B739F"/>
    <w:rsid w:val="008C355C"/>
    <w:rsid w:val="008C7FDE"/>
    <w:rsid w:val="008D2D33"/>
    <w:rsid w:val="008D7576"/>
    <w:rsid w:val="008F1759"/>
    <w:rsid w:val="008F3319"/>
    <w:rsid w:val="008F5749"/>
    <w:rsid w:val="008F6D68"/>
    <w:rsid w:val="008F7140"/>
    <w:rsid w:val="00902D95"/>
    <w:rsid w:val="00903C89"/>
    <w:rsid w:val="00903F23"/>
    <w:rsid w:val="009040D8"/>
    <w:rsid w:val="00905A50"/>
    <w:rsid w:val="00906AE0"/>
    <w:rsid w:val="00911563"/>
    <w:rsid w:val="0091401A"/>
    <w:rsid w:val="00914802"/>
    <w:rsid w:val="00916B08"/>
    <w:rsid w:val="0094118B"/>
    <w:rsid w:val="00945D81"/>
    <w:rsid w:val="009523DC"/>
    <w:rsid w:val="00952CCF"/>
    <w:rsid w:val="00956BBC"/>
    <w:rsid w:val="00961AD5"/>
    <w:rsid w:val="0096312A"/>
    <w:rsid w:val="0096463A"/>
    <w:rsid w:val="009830D4"/>
    <w:rsid w:val="0098530F"/>
    <w:rsid w:val="00987FF3"/>
    <w:rsid w:val="0099236C"/>
    <w:rsid w:val="00995593"/>
    <w:rsid w:val="00995CF7"/>
    <w:rsid w:val="009A21FB"/>
    <w:rsid w:val="009A2293"/>
    <w:rsid w:val="009A7C7D"/>
    <w:rsid w:val="009B3F0E"/>
    <w:rsid w:val="009C494A"/>
    <w:rsid w:val="009C5E70"/>
    <w:rsid w:val="009D1AA1"/>
    <w:rsid w:val="009D39A7"/>
    <w:rsid w:val="009E28F0"/>
    <w:rsid w:val="009E42DF"/>
    <w:rsid w:val="009E4344"/>
    <w:rsid w:val="009E5875"/>
    <w:rsid w:val="009F15B8"/>
    <w:rsid w:val="009F23CB"/>
    <w:rsid w:val="009F4F64"/>
    <w:rsid w:val="00A0368D"/>
    <w:rsid w:val="00A0717C"/>
    <w:rsid w:val="00A0782A"/>
    <w:rsid w:val="00A106B8"/>
    <w:rsid w:val="00A1267B"/>
    <w:rsid w:val="00A2083F"/>
    <w:rsid w:val="00A22CCE"/>
    <w:rsid w:val="00A32257"/>
    <w:rsid w:val="00A35B9B"/>
    <w:rsid w:val="00A41302"/>
    <w:rsid w:val="00A433A4"/>
    <w:rsid w:val="00A51922"/>
    <w:rsid w:val="00A61781"/>
    <w:rsid w:val="00A65FE7"/>
    <w:rsid w:val="00A753FB"/>
    <w:rsid w:val="00A812C7"/>
    <w:rsid w:val="00A8253D"/>
    <w:rsid w:val="00A82A13"/>
    <w:rsid w:val="00A840A3"/>
    <w:rsid w:val="00A85145"/>
    <w:rsid w:val="00A86B13"/>
    <w:rsid w:val="00A91C86"/>
    <w:rsid w:val="00A96DD7"/>
    <w:rsid w:val="00AB14E0"/>
    <w:rsid w:val="00AB7AF7"/>
    <w:rsid w:val="00AD00CD"/>
    <w:rsid w:val="00AD1DB2"/>
    <w:rsid w:val="00AD5678"/>
    <w:rsid w:val="00AD6AFE"/>
    <w:rsid w:val="00AE2B02"/>
    <w:rsid w:val="00AE4162"/>
    <w:rsid w:val="00AF0142"/>
    <w:rsid w:val="00AF070F"/>
    <w:rsid w:val="00AF295F"/>
    <w:rsid w:val="00AF2F14"/>
    <w:rsid w:val="00B01548"/>
    <w:rsid w:val="00B04B24"/>
    <w:rsid w:val="00B12FD7"/>
    <w:rsid w:val="00B12FEF"/>
    <w:rsid w:val="00B15FB6"/>
    <w:rsid w:val="00B31C38"/>
    <w:rsid w:val="00B3604A"/>
    <w:rsid w:val="00B423CB"/>
    <w:rsid w:val="00B433F5"/>
    <w:rsid w:val="00B45CEE"/>
    <w:rsid w:val="00B478A3"/>
    <w:rsid w:val="00B50C39"/>
    <w:rsid w:val="00B5165F"/>
    <w:rsid w:val="00B51C80"/>
    <w:rsid w:val="00B55E3A"/>
    <w:rsid w:val="00B639F5"/>
    <w:rsid w:val="00B70CC6"/>
    <w:rsid w:val="00B74180"/>
    <w:rsid w:val="00B81D8A"/>
    <w:rsid w:val="00B91BCE"/>
    <w:rsid w:val="00B97847"/>
    <w:rsid w:val="00BA1D94"/>
    <w:rsid w:val="00BB1516"/>
    <w:rsid w:val="00BB2DE0"/>
    <w:rsid w:val="00BB60C6"/>
    <w:rsid w:val="00BC113A"/>
    <w:rsid w:val="00BC3482"/>
    <w:rsid w:val="00BE2159"/>
    <w:rsid w:val="00BE38C1"/>
    <w:rsid w:val="00C06482"/>
    <w:rsid w:val="00C11411"/>
    <w:rsid w:val="00C21342"/>
    <w:rsid w:val="00C239DE"/>
    <w:rsid w:val="00C24C0E"/>
    <w:rsid w:val="00C26FAE"/>
    <w:rsid w:val="00C33884"/>
    <w:rsid w:val="00C34C64"/>
    <w:rsid w:val="00C360B9"/>
    <w:rsid w:val="00C411B3"/>
    <w:rsid w:val="00C52D6D"/>
    <w:rsid w:val="00C61C59"/>
    <w:rsid w:val="00C62613"/>
    <w:rsid w:val="00C712D3"/>
    <w:rsid w:val="00C86DA2"/>
    <w:rsid w:val="00C94F51"/>
    <w:rsid w:val="00C97805"/>
    <w:rsid w:val="00CB6444"/>
    <w:rsid w:val="00CC2BAC"/>
    <w:rsid w:val="00CC2FCD"/>
    <w:rsid w:val="00CC6B8E"/>
    <w:rsid w:val="00CC70D2"/>
    <w:rsid w:val="00CD2FA0"/>
    <w:rsid w:val="00CD4749"/>
    <w:rsid w:val="00CE205E"/>
    <w:rsid w:val="00CE41D7"/>
    <w:rsid w:val="00CE5331"/>
    <w:rsid w:val="00CE7AD0"/>
    <w:rsid w:val="00CF6649"/>
    <w:rsid w:val="00CF69C9"/>
    <w:rsid w:val="00CF7467"/>
    <w:rsid w:val="00D035B0"/>
    <w:rsid w:val="00D100D3"/>
    <w:rsid w:val="00D12F71"/>
    <w:rsid w:val="00D17D12"/>
    <w:rsid w:val="00D20E76"/>
    <w:rsid w:val="00D240E8"/>
    <w:rsid w:val="00D334AE"/>
    <w:rsid w:val="00D33608"/>
    <w:rsid w:val="00D36C2F"/>
    <w:rsid w:val="00D3726C"/>
    <w:rsid w:val="00D40B74"/>
    <w:rsid w:val="00D41F54"/>
    <w:rsid w:val="00D423A8"/>
    <w:rsid w:val="00D46A65"/>
    <w:rsid w:val="00D47201"/>
    <w:rsid w:val="00D561FA"/>
    <w:rsid w:val="00D60211"/>
    <w:rsid w:val="00D7099E"/>
    <w:rsid w:val="00D7356B"/>
    <w:rsid w:val="00D82F35"/>
    <w:rsid w:val="00D92221"/>
    <w:rsid w:val="00D93BCC"/>
    <w:rsid w:val="00D94B86"/>
    <w:rsid w:val="00D97705"/>
    <w:rsid w:val="00DA7262"/>
    <w:rsid w:val="00DB007E"/>
    <w:rsid w:val="00DB5A33"/>
    <w:rsid w:val="00DC6BC7"/>
    <w:rsid w:val="00DD3860"/>
    <w:rsid w:val="00DE206A"/>
    <w:rsid w:val="00DE2819"/>
    <w:rsid w:val="00DE5AD6"/>
    <w:rsid w:val="00DE723C"/>
    <w:rsid w:val="00DF2EB7"/>
    <w:rsid w:val="00DF5D3A"/>
    <w:rsid w:val="00E0291D"/>
    <w:rsid w:val="00E352B3"/>
    <w:rsid w:val="00E36925"/>
    <w:rsid w:val="00E402BA"/>
    <w:rsid w:val="00E462DD"/>
    <w:rsid w:val="00E548E5"/>
    <w:rsid w:val="00E560EE"/>
    <w:rsid w:val="00E70C24"/>
    <w:rsid w:val="00E7439F"/>
    <w:rsid w:val="00E82A78"/>
    <w:rsid w:val="00E85189"/>
    <w:rsid w:val="00E86E9A"/>
    <w:rsid w:val="00EA207E"/>
    <w:rsid w:val="00EA4F21"/>
    <w:rsid w:val="00EA7DB8"/>
    <w:rsid w:val="00EB0B69"/>
    <w:rsid w:val="00EB127A"/>
    <w:rsid w:val="00EB7DB7"/>
    <w:rsid w:val="00EB7F83"/>
    <w:rsid w:val="00EC407B"/>
    <w:rsid w:val="00ED6B06"/>
    <w:rsid w:val="00EE1B04"/>
    <w:rsid w:val="00EE4FA7"/>
    <w:rsid w:val="00EE7660"/>
    <w:rsid w:val="00EF4939"/>
    <w:rsid w:val="00F1556A"/>
    <w:rsid w:val="00F16091"/>
    <w:rsid w:val="00F200B4"/>
    <w:rsid w:val="00F2222B"/>
    <w:rsid w:val="00F235D5"/>
    <w:rsid w:val="00F26A64"/>
    <w:rsid w:val="00F369C1"/>
    <w:rsid w:val="00F37F39"/>
    <w:rsid w:val="00F54B95"/>
    <w:rsid w:val="00F56E2C"/>
    <w:rsid w:val="00F571AE"/>
    <w:rsid w:val="00F62F35"/>
    <w:rsid w:val="00F6799C"/>
    <w:rsid w:val="00F72D46"/>
    <w:rsid w:val="00F73A69"/>
    <w:rsid w:val="00F756CD"/>
    <w:rsid w:val="00F75864"/>
    <w:rsid w:val="00F77E7A"/>
    <w:rsid w:val="00F84270"/>
    <w:rsid w:val="00F843AB"/>
    <w:rsid w:val="00F9063F"/>
    <w:rsid w:val="00F92DFD"/>
    <w:rsid w:val="00FA0C02"/>
    <w:rsid w:val="00FA2BEB"/>
    <w:rsid w:val="00FB066D"/>
    <w:rsid w:val="00FB2CA5"/>
    <w:rsid w:val="00FC053E"/>
    <w:rsid w:val="00FC2E17"/>
    <w:rsid w:val="00FC4648"/>
    <w:rsid w:val="00FD22B2"/>
    <w:rsid w:val="00FD6065"/>
    <w:rsid w:val="00FE18D4"/>
    <w:rsid w:val="00FF44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4503BE"/>
  <w15:chartTrackingRefBased/>
  <w15:docId w15:val="{52DCE8C3-1FDA-4F40-B187-D8157F8D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E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5F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3AE"/>
    <w:pPr>
      <w:spacing w:line="256" w:lineRule="auto"/>
      <w:ind w:left="720"/>
      <w:contextualSpacing/>
    </w:pPr>
  </w:style>
  <w:style w:type="character" w:customStyle="1" w:styleId="Heading1Char">
    <w:name w:val="Heading 1 Char"/>
    <w:basedOn w:val="DefaultParagraphFont"/>
    <w:link w:val="Heading1"/>
    <w:uiPriority w:val="9"/>
    <w:rsid w:val="00E86E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5FE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B3AAA"/>
    <w:rPr>
      <w:sz w:val="16"/>
      <w:szCs w:val="16"/>
    </w:rPr>
  </w:style>
  <w:style w:type="paragraph" w:styleId="CommentText">
    <w:name w:val="annotation text"/>
    <w:basedOn w:val="Normal"/>
    <w:link w:val="CommentTextChar"/>
    <w:uiPriority w:val="99"/>
    <w:semiHidden/>
    <w:unhideWhenUsed/>
    <w:rsid w:val="002B3AAA"/>
    <w:pPr>
      <w:spacing w:line="240" w:lineRule="auto"/>
    </w:pPr>
    <w:rPr>
      <w:sz w:val="20"/>
      <w:szCs w:val="20"/>
    </w:rPr>
  </w:style>
  <w:style w:type="character" w:customStyle="1" w:styleId="CommentTextChar">
    <w:name w:val="Comment Text Char"/>
    <w:basedOn w:val="DefaultParagraphFont"/>
    <w:link w:val="CommentText"/>
    <w:uiPriority w:val="99"/>
    <w:semiHidden/>
    <w:rsid w:val="002B3AAA"/>
    <w:rPr>
      <w:sz w:val="20"/>
      <w:szCs w:val="20"/>
    </w:rPr>
  </w:style>
  <w:style w:type="paragraph" w:styleId="CommentSubject">
    <w:name w:val="annotation subject"/>
    <w:basedOn w:val="CommentText"/>
    <w:next w:val="CommentText"/>
    <w:link w:val="CommentSubjectChar"/>
    <w:uiPriority w:val="99"/>
    <w:semiHidden/>
    <w:unhideWhenUsed/>
    <w:rsid w:val="002B3AAA"/>
    <w:rPr>
      <w:b/>
      <w:bCs/>
    </w:rPr>
  </w:style>
  <w:style w:type="character" w:customStyle="1" w:styleId="CommentSubjectChar">
    <w:name w:val="Comment Subject Char"/>
    <w:basedOn w:val="CommentTextChar"/>
    <w:link w:val="CommentSubject"/>
    <w:uiPriority w:val="99"/>
    <w:semiHidden/>
    <w:rsid w:val="002B3AAA"/>
    <w:rPr>
      <w:b/>
      <w:bCs/>
      <w:sz w:val="20"/>
      <w:szCs w:val="20"/>
    </w:rPr>
  </w:style>
  <w:style w:type="paragraph" w:styleId="BalloonText">
    <w:name w:val="Balloon Text"/>
    <w:basedOn w:val="Normal"/>
    <w:link w:val="BalloonTextChar"/>
    <w:uiPriority w:val="99"/>
    <w:semiHidden/>
    <w:unhideWhenUsed/>
    <w:rsid w:val="002B3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AAA"/>
    <w:rPr>
      <w:rFonts w:ascii="Segoe UI" w:hAnsi="Segoe UI" w:cs="Segoe UI"/>
      <w:sz w:val="18"/>
      <w:szCs w:val="18"/>
    </w:rPr>
  </w:style>
  <w:style w:type="character" w:customStyle="1" w:styleId="Heading3Char">
    <w:name w:val="Heading 3 Char"/>
    <w:basedOn w:val="DefaultParagraphFont"/>
    <w:link w:val="Heading3"/>
    <w:uiPriority w:val="9"/>
    <w:rsid w:val="009E42DF"/>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5C0C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C9B"/>
    <w:rPr>
      <w:rFonts w:asciiTheme="majorHAnsi" w:eastAsiaTheme="majorEastAsia" w:hAnsiTheme="majorHAnsi" w:cstheme="majorBidi"/>
      <w:spacing w:val="-10"/>
      <w:kern w:val="28"/>
      <w:sz w:val="56"/>
      <w:szCs w:val="56"/>
    </w:rPr>
  </w:style>
  <w:style w:type="paragraph" w:styleId="ListBullet">
    <w:name w:val="List Bullet"/>
    <w:basedOn w:val="Normal"/>
    <w:rsid w:val="00A86B13"/>
    <w:pPr>
      <w:numPr>
        <w:numId w:val="5"/>
      </w:numPr>
      <w:spacing w:before="240" w:after="0" w:line="280" w:lineRule="atLeast"/>
      <w:outlineLvl w:val="0"/>
    </w:pPr>
    <w:rPr>
      <w:rFonts w:ascii="Arial" w:eastAsia="Times New Roman" w:hAnsi="Arial" w:cs="Times New Roman"/>
      <w:kern w:val="28"/>
      <w:szCs w:val="20"/>
    </w:rPr>
  </w:style>
  <w:style w:type="paragraph" w:styleId="NormalWeb">
    <w:name w:val="Normal (Web)"/>
    <w:basedOn w:val="Normal"/>
    <w:uiPriority w:val="99"/>
    <w:unhideWhenUsed/>
    <w:rsid w:val="00A86B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85FE0"/>
    <w:rPr>
      <w:i/>
      <w:iCs/>
    </w:rPr>
  </w:style>
  <w:style w:type="paragraph" w:styleId="NoSpacing">
    <w:name w:val="No Spacing"/>
    <w:uiPriority w:val="1"/>
    <w:qFormat/>
    <w:rsid w:val="001E7C8C"/>
    <w:pPr>
      <w:spacing w:after="0" w:line="240" w:lineRule="auto"/>
      <w:jc w:val="both"/>
    </w:pPr>
    <w:rPr>
      <w:rFonts w:eastAsiaTheme="minorEastAsia"/>
      <w:lang w:eastAsia="zh-CN"/>
    </w:rPr>
  </w:style>
  <w:style w:type="paragraph" w:styleId="EndnoteText">
    <w:name w:val="endnote text"/>
    <w:basedOn w:val="Normal"/>
    <w:link w:val="EndnoteTextChar"/>
    <w:uiPriority w:val="99"/>
    <w:unhideWhenUsed/>
    <w:rsid w:val="00F6799C"/>
    <w:pPr>
      <w:spacing w:after="0" w:line="240" w:lineRule="auto"/>
    </w:pPr>
    <w:rPr>
      <w:sz w:val="20"/>
      <w:szCs w:val="20"/>
    </w:rPr>
  </w:style>
  <w:style w:type="character" w:customStyle="1" w:styleId="EndnoteTextChar">
    <w:name w:val="Endnote Text Char"/>
    <w:basedOn w:val="DefaultParagraphFont"/>
    <w:link w:val="EndnoteText"/>
    <w:uiPriority w:val="99"/>
    <w:rsid w:val="00F6799C"/>
    <w:rPr>
      <w:sz w:val="20"/>
      <w:szCs w:val="20"/>
    </w:rPr>
  </w:style>
  <w:style w:type="character" w:styleId="EndnoteReference">
    <w:name w:val="endnote reference"/>
    <w:basedOn w:val="DefaultParagraphFont"/>
    <w:uiPriority w:val="99"/>
    <w:semiHidden/>
    <w:unhideWhenUsed/>
    <w:rsid w:val="00F6799C"/>
    <w:rPr>
      <w:vertAlign w:val="superscript"/>
    </w:rPr>
  </w:style>
  <w:style w:type="character" w:styleId="Hyperlink">
    <w:name w:val="Hyperlink"/>
    <w:basedOn w:val="DefaultParagraphFont"/>
    <w:uiPriority w:val="99"/>
    <w:unhideWhenUsed/>
    <w:rsid w:val="008B739F"/>
    <w:rPr>
      <w:color w:val="0563C1" w:themeColor="hyperlink"/>
      <w:u w:val="single"/>
    </w:rPr>
  </w:style>
  <w:style w:type="table" w:styleId="TableGrid">
    <w:name w:val="Table Grid"/>
    <w:basedOn w:val="TableNormal"/>
    <w:uiPriority w:val="39"/>
    <w:rsid w:val="003B4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E12"/>
  </w:style>
  <w:style w:type="paragraph" w:styleId="Footer">
    <w:name w:val="footer"/>
    <w:basedOn w:val="Normal"/>
    <w:link w:val="FooterChar"/>
    <w:uiPriority w:val="99"/>
    <w:unhideWhenUsed/>
    <w:rsid w:val="003D3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E12"/>
  </w:style>
  <w:style w:type="paragraph" w:styleId="Revision">
    <w:name w:val="Revision"/>
    <w:hidden/>
    <w:uiPriority w:val="99"/>
    <w:semiHidden/>
    <w:rsid w:val="00682F6C"/>
    <w:pPr>
      <w:spacing w:after="0" w:line="240" w:lineRule="auto"/>
    </w:pPr>
  </w:style>
  <w:style w:type="paragraph" w:styleId="FootnoteText">
    <w:name w:val="footnote text"/>
    <w:basedOn w:val="Normal"/>
    <w:link w:val="FootnoteTextChar"/>
    <w:uiPriority w:val="99"/>
    <w:semiHidden/>
    <w:unhideWhenUsed/>
    <w:rsid w:val="00152D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D3F"/>
    <w:rPr>
      <w:sz w:val="20"/>
      <w:szCs w:val="20"/>
    </w:rPr>
  </w:style>
  <w:style w:type="character" w:styleId="FootnoteReference">
    <w:name w:val="footnote reference"/>
    <w:basedOn w:val="DefaultParagraphFont"/>
    <w:uiPriority w:val="99"/>
    <w:semiHidden/>
    <w:unhideWhenUsed/>
    <w:rsid w:val="00152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12631">
      <w:bodyDiv w:val="1"/>
      <w:marLeft w:val="0"/>
      <w:marRight w:val="0"/>
      <w:marTop w:val="0"/>
      <w:marBottom w:val="0"/>
      <w:divBdr>
        <w:top w:val="none" w:sz="0" w:space="0" w:color="auto"/>
        <w:left w:val="none" w:sz="0" w:space="0" w:color="auto"/>
        <w:bottom w:val="none" w:sz="0" w:space="0" w:color="auto"/>
        <w:right w:val="none" w:sz="0" w:space="0" w:color="auto"/>
      </w:divBdr>
    </w:div>
    <w:div w:id="240484128">
      <w:bodyDiv w:val="1"/>
      <w:marLeft w:val="0"/>
      <w:marRight w:val="0"/>
      <w:marTop w:val="0"/>
      <w:marBottom w:val="0"/>
      <w:divBdr>
        <w:top w:val="none" w:sz="0" w:space="0" w:color="auto"/>
        <w:left w:val="none" w:sz="0" w:space="0" w:color="auto"/>
        <w:bottom w:val="none" w:sz="0" w:space="0" w:color="auto"/>
        <w:right w:val="none" w:sz="0" w:space="0" w:color="auto"/>
      </w:divBdr>
    </w:div>
    <w:div w:id="462309929">
      <w:bodyDiv w:val="1"/>
      <w:marLeft w:val="0"/>
      <w:marRight w:val="0"/>
      <w:marTop w:val="0"/>
      <w:marBottom w:val="0"/>
      <w:divBdr>
        <w:top w:val="none" w:sz="0" w:space="0" w:color="auto"/>
        <w:left w:val="none" w:sz="0" w:space="0" w:color="auto"/>
        <w:bottom w:val="none" w:sz="0" w:space="0" w:color="auto"/>
        <w:right w:val="none" w:sz="0" w:space="0" w:color="auto"/>
      </w:divBdr>
      <w:divsChild>
        <w:div w:id="877593270">
          <w:marLeft w:val="0"/>
          <w:marRight w:val="0"/>
          <w:marTop w:val="0"/>
          <w:marBottom w:val="0"/>
          <w:divBdr>
            <w:top w:val="none" w:sz="0" w:space="0" w:color="auto"/>
            <w:left w:val="none" w:sz="0" w:space="0" w:color="auto"/>
            <w:bottom w:val="none" w:sz="0" w:space="0" w:color="auto"/>
            <w:right w:val="none" w:sz="0" w:space="0" w:color="auto"/>
          </w:divBdr>
          <w:divsChild>
            <w:div w:id="1026981301">
              <w:marLeft w:val="0"/>
              <w:marRight w:val="0"/>
              <w:marTop w:val="0"/>
              <w:marBottom w:val="0"/>
              <w:divBdr>
                <w:top w:val="none" w:sz="0" w:space="0" w:color="auto"/>
                <w:left w:val="none" w:sz="0" w:space="0" w:color="auto"/>
                <w:bottom w:val="none" w:sz="0" w:space="0" w:color="auto"/>
                <w:right w:val="none" w:sz="0" w:space="0" w:color="auto"/>
              </w:divBdr>
              <w:divsChild>
                <w:div w:id="7454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0197">
      <w:bodyDiv w:val="1"/>
      <w:marLeft w:val="0"/>
      <w:marRight w:val="0"/>
      <w:marTop w:val="0"/>
      <w:marBottom w:val="0"/>
      <w:divBdr>
        <w:top w:val="none" w:sz="0" w:space="0" w:color="auto"/>
        <w:left w:val="none" w:sz="0" w:space="0" w:color="auto"/>
        <w:bottom w:val="none" w:sz="0" w:space="0" w:color="auto"/>
        <w:right w:val="none" w:sz="0" w:space="0" w:color="auto"/>
      </w:divBdr>
    </w:div>
    <w:div w:id="975715727">
      <w:bodyDiv w:val="1"/>
      <w:marLeft w:val="0"/>
      <w:marRight w:val="0"/>
      <w:marTop w:val="0"/>
      <w:marBottom w:val="0"/>
      <w:divBdr>
        <w:top w:val="none" w:sz="0" w:space="0" w:color="auto"/>
        <w:left w:val="none" w:sz="0" w:space="0" w:color="auto"/>
        <w:bottom w:val="none" w:sz="0" w:space="0" w:color="auto"/>
        <w:right w:val="none" w:sz="0" w:space="0" w:color="auto"/>
      </w:divBdr>
    </w:div>
    <w:div w:id="1085687845">
      <w:bodyDiv w:val="1"/>
      <w:marLeft w:val="0"/>
      <w:marRight w:val="0"/>
      <w:marTop w:val="0"/>
      <w:marBottom w:val="0"/>
      <w:divBdr>
        <w:top w:val="none" w:sz="0" w:space="0" w:color="auto"/>
        <w:left w:val="none" w:sz="0" w:space="0" w:color="auto"/>
        <w:bottom w:val="none" w:sz="0" w:space="0" w:color="auto"/>
        <w:right w:val="none" w:sz="0" w:space="0" w:color="auto"/>
      </w:divBdr>
    </w:div>
    <w:div w:id="1120220018">
      <w:bodyDiv w:val="1"/>
      <w:marLeft w:val="0"/>
      <w:marRight w:val="0"/>
      <w:marTop w:val="0"/>
      <w:marBottom w:val="0"/>
      <w:divBdr>
        <w:top w:val="none" w:sz="0" w:space="0" w:color="auto"/>
        <w:left w:val="none" w:sz="0" w:space="0" w:color="auto"/>
        <w:bottom w:val="none" w:sz="0" w:space="0" w:color="auto"/>
        <w:right w:val="none" w:sz="0" w:space="0" w:color="auto"/>
      </w:divBdr>
    </w:div>
    <w:div w:id="1234122320">
      <w:bodyDiv w:val="1"/>
      <w:marLeft w:val="0"/>
      <w:marRight w:val="0"/>
      <w:marTop w:val="0"/>
      <w:marBottom w:val="0"/>
      <w:divBdr>
        <w:top w:val="none" w:sz="0" w:space="0" w:color="auto"/>
        <w:left w:val="none" w:sz="0" w:space="0" w:color="auto"/>
        <w:bottom w:val="none" w:sz="0" w:space="0" w:color="auto"/>
        <w:right w:val="none" w:sz="0" w:space="0" w:color="auto"/>
      </w:divBdr>
    </w:div>
    <w:div w:id="1275553682">
      <w:bodyDiv w:val="1"/>
      <w:marLeft w:val="0"/>
      <w:marRight w:val="0"/>
      <w:marTop w:val="0"/>
      <w:marBottom w:val="0"/>
      <w:divBdr>
        <w:top w:val="none" w:sz="0" w:space="0" w:color="auto"/>
        <w:left w:val="none" w:sz="0" w:space="0" w:color="auto"/>
        <w:bottom w:val="none" w:sz="0" w:space="0" w:color="auto"/>
        <w:right w:val="none" w:sz="0" w:space="0" w:color="auto"/>
      </w:divBdr>
      <w:divsChild>
        <w:div w:id="238246651">
          <w:marLeft w:val="1296"/>
          <w:marRight w:val="0"/>
          <w:marTop w:val="110"/>
          <w:marBottom w:val="0"/>
          <w:divBdr>
            <w:top w:val="none" w:sz="0" w:space="0" w:color="auto"/>
            <w:left w:val="none" w:sz="0" w:space="0" w:color="auto"/>
            <w:bottom w:val="none" w:sz="0" w:space="0" w:color="auto"/>
            <w:right w:val="none" w:sz="0" w:space="0" w:color="auto"/>
          </w:divBdr>
        </w:div>
        <w:div w:id="545800923">
          <w:marLeft w:val="1296"/>
          <w:marRight w:val="0"/>
          <w:marTop w:val="110"/>
          <w:marBottom w:val="0"/>
          <w:divBdr>
            <w:top w:val="none" w:sz="0" w:space="0" w:color="auto"/>
            <w:left w:val="none" w:sz="0" w:space="0" w:color="auto"/>
            <w:bottom w:val="none" w:sz="0" w:space="0" w:color="auto"/>
            <w:right w:val="none" w:sz="0" w:space="0" w:color="auto"/>
          </w:divBdr>
        </w:div>
        <w:div w:id="778062433">
          <w:marLeft w:val="547"/>
          <w:marRight w:val="0"/>
          <w:marTop w:val="110"/>
          <w:marBottom w:val="0"/>
          <w:divBdr>
            <w:top w:val="none" w:sz="0" w:space="0" w:color="auto"/>
            <w:left w:val="none" w:sz="0" w:space="0" w:color="auto"/>
            <w:bottom w:val="none" w:sz="0" w:space="0" w:color="auto"/>
            <w:right w:val="none" w:sz="0" w:space="0" w:color="auto"/>
          </w:divBdr>
        </w:div>
        <w:div w:id="1385446720">
          <w:marLeft w:val="1296"/>
          <w:marRight w:val="0"/>
          <w:marTop w:val="110"/>
          <w:marBottom w:val="0"/>
          <w:divBdr>
            <w:top w:val="none" w:sz="0" w:space="0" w:color="auto"/>
            <w:left w:val="none" w:sz="0" w:space="0" w:color="auto"/>
            <w:bottom w:val="none" w:sz="0" w:space="0" w:color="auto"/>
            <w:right w:val="none" w:sz="0" w:space="0" w:color="auto"/>
          </w:divBdr>
        </w:div>
      </w:divsChild>
    </w:div>
    <w:div w:id="1391886296">
      <w:bodyDiv w:val="1"/>
      <w:marLeft w:val="0"/>
      <w:marRight w:val="0"/>
      <w:marTop w:val="0"/>
      <w:marBottom w:val="0"/>
      <w:divBdr>
        <w:top w:val="none" w:sz="0" w:space="0" w:color="auto"/>
        <w:left w:val="none" w:sz="0" w:space="0" w:color="auto"/>
        <w:bottom w:val="none" w:sz="0" w:space="0" w:color="auto"/>
        <w:right w:val="none" w:sz="0" w:space="0" w:color="auto"/>
      </w:divBdr>
    </w:div>
    <w:div w:id="1423796228">
      <w:bodyDiv w:val="1"/>
      <w:marLeft w:val="0"/>
      <w:marRight w:val="0"/>
      <w:marTop w:val="0"/>
      <w:marBottom w:val="0"/>
      <w:divBdr>
        <w:top w:val="none" w:sz="0" w:space="0" w:color="auto"/>
        <w:left w:val="none" w:sz="0" w:space="0" w:color="auto"/>
        <w:bottom w:val="none" w:sz="0" w:space="0" w:color="auto"/>
        <w:right w:val="none" w:sz="0" w:space="0" w:color="auto"/>
      </w:divBdr>
    </w:div>
    <w:div w:id="1460220400">
      <w:bodyDiv w:val="1"/>
      <w:marLeft w:val="0"/>
      <w:marRight w:val="0"/>
      <w:marTop w:val="0"/>
      <w:marBottom w:val="0"/>
      <w:divBdr>
        <w:top w:val="none" w:sz="0" w:space="0" w:color="auto"/>
        <w:left w:val="none" w:sz="0" w:space="0" w:color="auto"/>
        <w:bottom w:val="none" w:sz="0" w:space="0" w:color="auto"/>
        <w:right w:val="none" w:sz="0" w:space="0" w:color="auto"/>
      </w:divBdr>
    </w:div>
    <w:div w:id="1840924637">
      <w:bodyDiv w:val="1"/>
      <w:marLeft w:val="0"/>
      <w:marRight w:val="0"/>
      <w:marTop w:val="0"/>
      <w:marBottom w:val="0"/>
      <w:divBdr>
        <w:top w:val="none" w:sz="0" w:space="0" w:color="auto"/>
        <w:left w:val="none" w:sz="0" w:space="0" w:color="auto"/>
        <w:bottom w:val="none" w:sz="0" w:space="0" w:color="auto"/>
        <w:right w:val="none" w:sz="0" w:space="0" w:color="auto"/>
      </w:divBdr>
    </w:div>
    <w:div w:id="1941835477">
      <w:bodyDiv w:val="1"/>
      <w:marLeft w:val="0"/>
      <w:marRight w:val="0"/>
      <w:marTop w:val="0"/>
      <w:marBottom w:val="0"/>
      <w:divBdr>
        <w:top w:val="none" w:sz="0" w:space="0" w:color="auto"/>
        <w:left w:val="none" w:sz="0" w:space="0" w:color="auto"/>
        <w:bottom w:val="none" w:sz="0" w:space="0" w:color="auto"/>
        <w:right w:val="none" w:sz="0" w:space="0" w:color="auto"/>
      </w:divBdr>
      <w:divsChild>
        <w:div w:id="814562715">
          <w:marLeft w:val="547"/>
          <w:marRight w:val="0"/>
          <w:marTop w:val="134"/>
          <w:marBottom w:val="0"/>
          <w:divBdr>
            <w:top w:val="none" w:sz="0" w:space="0" w:color="auto"/>
            <w:left w:val="none" w:sz="0" w:space="0" w:color="auto"/>
            <w:bottom w:val="none" w:sz="0" w:space="0" w:color="auto"/>
            <w:right w:val="none" w:sz="0" w:space="0" w:color="auto"/>
          </w:divBdr>
        </w:div>
      </w:divsChild>
    </w:div>
    <w:div w:id="1955672058">
      <w:bodyDiv w:val="1"/>
      <w:marLeft w:val="0"/>
      <w:marRight w:val="0"/>
      <w:marTop w:val="0"/>
      <w:marBottom w:val="0"/>
      <w:divBdr>
        <w:top w:val="none" w:sz="0" w:space="0" w:color="auto"/>
        <w:left w:val="none" w:sz="0" w:space="0" w:color="auto"/>
        <w:bottom w:val="none" w:sz="0" w:space="0" w:color="auto"/>
        <w:right w:val="none" w:sz="0" w:space="0" w:color="auto"/>
      </w:divBdr>
    </w:div>
    <w:div w:id="20808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ons.gov.uk/ons/guide-method/census/2011/the-2011-census/processing-the-information/statistical-methodology/predicting-patterns-of-household-non-response-in-the-2011-census.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a7dd7a64-f5c5-4f30-b8c4-f5626f639d1b" ContentTypeId="0x01010035E33599CC8D1E47A037F474646B1D58"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EDRMSOwner xmlns="f8cc70c5-6df4-4163-8f93-1fe30c314df0" xsi:nil="true"/>
    <Retention xmlns="f8cc70c5-6df4-4163-8f93-1fe30c314df0">0</Retention>
    <_dlc_DocId xmlns="39b8a52d-d8b9-47ff-a8c3-c8931ddf8d60">D5PZWENCX5VS-172818178-31265</_dlc_DocId>
    <_dlc_DocIdUrl xmlns="39b8a52d-d8b9-47ff-a8c3-c8931ddf8d60">
      <Url>https://share.sp.ons.statistics.gov.uk/sites/MTH/Cen/_layouts/15/DocIdRedir.aspx?ID=D5PZWENCX5VS-172818178-31265</Url>
      <Description>D5PZWENCX5VS-172818178-31265</Description>
    </_dlc_DocIdUrl>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F3ECA-03D5-4CEB-B2D2-8C6C37550CC5}">
  <ds:schemaRefs>
    <ds:schemaRef ds:uri="Microsoft.SharePoint.Taxonomy.ContentTypeSync"/>
  </ds:schemaRefs>
</ds:datastoreItem>
</file>

<file path=customXml/itemProps2.xml><?xml version="1.0" encoding="utf-8"?>
<ds:datastoreItem xmlns:ds="http://schemas.openxmlformats.org/officeDocument/2006/customXml" ds:itemID="{78ECB1E0-6187-4EEB-A155-5A5811199524}">
  <ds:schemaRefs>
    <ds:schemaRef ds:uri="http://schemas.microsoft.com/sharepoint/events"/>
  </ds:schemaRefs>
</ds:datastoreItem>
</file>

<file path=customXml/itemProps3.xml><?xml version="1.0" encoding="utf-8"?>
<ds:datastoreItem xmlns:ds="http://schemas.openxmlformats.org/officeDocument/2006/customXml" ds:itemID="{E1B8D161-8480-4D4F-8277-987D2C309C4E}">
  <ds:schemaRefs>
    <ds:schemaRef ds:uri="http://schemas.microsoft.com/sharepoint/v3/contenttype/forms"/>
  </ds:schemaRefs>
</ds:datastoreItem>
</file>

<file path=customXml/itemProps4.xml><?xml version="1.0" encoding="utf-8"?>
<ds:datastoreItem xmlns:ds="http://schemas.openxmlformats.org/officeDocument/2006/customXml" ds:itemID="{861E3015-93D1-4896-A776-7A992C464C8C}">
  <ds:schemaRefs>
    <ds:schemaRef ds:uri="http://purl.org/dc/elements/1.1/"/>
    <ds:schemaRef ds:uri="http://schemas.microsoft.com/office/2006/metadata/properties"/>
    <ds:schemaRef ds:uri="e14115de-03ae-49b5-af01-31035404c456"/>
    <ds:schemaRef ds:uri="f8cc70c5-6df4-4163-8f93-1fe30c314df0"/>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b8a52d-d8b9-47ff-a8c3-c8931ddf8d60"/>
    <ds:schemaRef ds:uri="http://www.w3.org/XML/1998/namespace"/>
    <ds:schemaRef ds:uri="http://purl.org/dc/dcmitype/"/>
  </ds:schemaRefs>
</ds:datastoreItem>
</file>

<file path=customXml/itemProps5.xml><?xml version="1.0" encoding="utf-8"?>
<ds:datastoreItem xmlns:ds="http://schemas.openxmlformats.org/officeDocument/2006/customXml" ds:itemID="{18FD5A89-F593-4485-9701-F1121CE77F63}"/>
</file>

<file path=customXml/itemProps6.xml><?xml version="1.0" encoding="utf-8"?>
<ds:datastoreItem xmlns:ds="http://schemas.openxmlformats.org/officeDocument/2006/customXml" ds:itemID="{7214F7CA-CFB6-4C2A-9F4E-293362C1DD67}">
  <ds:schemaRefs>
    <ds:schemaRef ds:uri="office.server.policy"/>
  </ds:schemaRefs>
</ds:datastoreItem>
</file>

<file path=customXml/itemProps7.xml><?xml version="1.0" encoding="utf-8"?>
<ds:datastoreItem xmlns:ds="http://schemas.openxmlformats.org/officeDocument/2006/customXml" ds:itemID="{3E975A04-BEE0-42A9-9B3B-0DA5C1413969}">
  <ds:schemaRefs>
    <ds:schemaRef ds:uri="http://schemas.microsoft.com/office/2006/metadata/customXsn"/>
  </ds:schemaRefs>
</ds:datastoreItem>
</file>

<file path=customXml/itemProps8.xml><?xml version="1.0" encoding="utf-8"?>
<ds:datastoreItem xmlns:ds="http://schemas.openxmlformats.org/officeDocument/2006/customXml" ds:itemID="{86917A61-7158-4002-932F-18CC713C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5860</Words>
  <Characters>33408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Tortoriello, Maria</dc:creator>
  <cp:keywords/>
  <dc:description/>
  <cp:lastModifiedBy>Lydiat, Christopher</cp:lastModifiedBy>
  <cp:revision>2</cp:revision>
  <cp:lastPrinted>2019-05-03T12:23:00Z</cp:lastPrinted>
  <dcterms:created xsi:type="dcterms:W3CDTF">2019-11-05T15:05:00Z</dcterms:created>
  <dcterms:modified xsi:type="dcterms:W3CDTF">2019-11-05T15:05:00Z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TaxKeyword">
    <vt:lpwstr/>
  </property>
  <property fmtid="{D5CDD505-2E9C-101B-9397-08002B2CF9AE}" pid="4" name="RecordType">
    <vt:lpwstr>9;#Meeting papers (inc. agendas minutes etc)|ce21491e-24bf-490d-8d19-382be1f405d0</vt:lpwstr>
  </property>
  <property fmtid="{D5CDD505-2E9C-101B-9397-08002B2CF9AE}" pid="5" name="TaxCatchAll">
    <vt:lpwstr>26;#Statistical|5729cdfc-ed55-47a7-934b-6d10a24cc839</vt:lpwstr>
  </property>
  <property fmtid="{D5CDD505-2E9C-101B-9397-08002B2CF9AE}" pid="6" name="TaxKeywordTaxHTField">
    <vt:lpwstr/>
  </property>
  <property fmtid="{D5CDD505-2E9C-101B-9397-08002B2CF9AE}" pid="7" name="_dlc_policyId">
    <vt:lpwstr>0x01010035E33599CC8D1E47A037F474646B1D58|2057524105</vt:lpwstr>
  </property>
  <property fmtid="{D5CDD505-2E9C-101B-9397-08002B2CF9AE}" pid="8"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9" name="_dlc_DocIdItemGuid">
    <vt:lpwstr>1ea4c7db-dd08-41b4-9c07-6cbbfba624a0</vt:lpwstr>
  </property>
</Properties>
</file>