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C9D79" w14:textId="77777777" w:rsidR="006435ED" w:rsidRPr="00AE2B70" w:rsidRDefault="006435ED" w:rsidP="006435ED">
      <w:pPr>
        <w:spacing w:line="240" w:lineRule="auto"/>
        <w:jc w:val="center"/>
        <w:rPr>
          <w:b/>
          <w:sz w:val="32"/>
          <w:szCs w:val="32"/>
        </w:rPr>
      </w:pPr>
      <w:r w:rsidRPr="00AE2B70">
        <w:rPr>
          <w:b/>
          <w:sz w:val="32"/>
          <w:szCs w:val="32"/>
        </w:rPr>
        <w:t>The 2021 Census Coverage Adjustment Strategy</w:t>
      </w:r>
    </w:p>
    <w:p w14:paraId="4631D810" w14:textId="77777777" w:rsidR="006435ED" w:rsidRPr="00AE2B70" w:rsidRDefault="006435ED" w:rsidP="006435ED">
      <w:pPr>
        <w:spacing w:line="240" w:lineRule="auto"/>
        <w:jc w:val="center"/>
        <w:rPr>
          <w:b/>
          <w:sz w:val="28"/>
          <w:szCs w:val="28"/>
        </w:rPr>
      </w:pPr>
      <w:r w:rsidRPr="00AE2B70">
        <w:rPr>
          <w:b/>
          <w:sz w:val="28"/>
          <w:szCs w:val="28"/>
        </w:rPr>
        <w:t>Paper for External Review (September 2018)</w:t>
      </w:r>
    </w:p>
    <w:p w14:paraId="013AC4FE" w14:textId="77777777" w:rsidR="006435ED" w:rsidRPr="00AE2B70" w:rsidRDefault="006435ED" w:rsidP="006435ED">
      <w:pPr>
        <w:spacing w:line="240" w:lineRule="auto"/>
        <w:jc w:val="center"/>
        <w:rPr>
          <w:sz w:val="24"/>
          <w:szCs w:val="24"/>
        </w:rPr>
      </w:pPr>
      <w:r w:rsidRPr="00AE2B70">
        <w:rPr>
          <w:sz w:val="24"/>
          <w:szCs w:val="24"/>
        </w:rPr>
        <w:t>Alison Whitworth, Christine Sexton and Rob North</w:t>
      </w:r>
    </w:p>
    <w:p w14:paraId="46A3FC52" w14:textId="77777777" w:rsidR="006435ED" w:rsidRPr="00AE2B70" w:rsidRDefault="006435ED" w:rsidP="006435ED">
      <w:pPr>
        <w:spacing w:line="240" w:lineRule="auto"/>
        <w:rPr>
          <w:b/>
          <w:sz w:val="28"/>
          <w:szCs w:val="28"/>
        </w:rPr>
      </w:pPr>
    </w:p>
    <w:p w14:paraId="1C13AA89"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Introduction</w:t>
      </w:r>
    </w:p>
    <w:p w14:paraId="3982196B" w14:textId="77777777" w:rsidR="006435ED" w:rsidRPr="00AE2B70" w:rsidRDefault="006435ED" w:rsidP="006435ED">
      <w:pPr>
        <w:spacing w:after="0" w:line="240" w:lineRule="auto"/>
        <w:rPr>
          <w:sz w:val="24"/>
          <w:szCs w:val="24"/>
        </w:rPr>
      </w:pPr>
      <w:r w:rsidRPr="00AE2B70">
        <w:rPr>
          <w:sz w:val="24"/>
          <w:szCs w:val="24"/>
        </w:rPr>
        <w:t xml:space="preserve">The purpose of the census coverage adjustment method is to amend the unit level Census database so that it is consistent with the population estimates derived from the Coverage Estimation process, and robust estimates can be obtained for lower level geographies. Historically the adjustment has been made to account for Census under coverage of both households and people.  </w:t>
      </w:r>
    </w:p>
    <w:p w14:paraId="4F15FAEE" w14:textId="77777777" w:rsidR="006435ED" w:rsidRPr="00AE2B70" w:rsidRDefault="006435ED" w:rsidP="006435ED">
      <w:pPr>
        <w:spacing w:after="0" w:line="240" w:lineRule="auto"/>
        <w:rPr>
          <w:sz w:val="24"/>
          <w:szCs w:val="24"/>
        </w:rPr>
      </w:pPr>
    </w:p>
    <w:p w14:paraId="19486D3B" w14:textId="77777777" w:rsidR="006435ED" w:rsidRPr="00AE2B70" w:rsidRDefault="006435ED" w:rsidP="006435ED">
      <w:pPr>
        <w:spacing w:after="0" w:line="240" w:lineRule="auto"/>
        <w:rPr>
          <w:sz w:val="24"/>
          <w:szCs w:val="24"/>
        </w:rPr>
      </w:pPr>
      <w:r w:rsidRPr="00AE2B70">
        <w:rPr>
          <w:sz w:val="24"/>
          <w:szCs w:val="24"/>
        </w:rPr>
        <w:t xml:space="preserve">In 2011 the </w:t>
      </w:r>
      <w:r>
        <w:rPr>
          <w:sz w:val="24"/>
          <w:szCs w:val="24"/>
        </w:rPr>
        <w:t>c</w:t>
      </w:r>
      <w:r w:rsidRPr="00AE2B70">
        <w:rPr>
          <w:sz w:val="24"/>
          <w:szCs w:val="24"/>
        </w:rPr>
        <w:t xml:space="preserve">ensus coverage estimation used dual system, and ratio estimators to produce </w:t>
      </w:r>
      <w:r>
        <w:rPr>
          <w:sz w:val="24"/>
          <w:szCs w:val="24"/>
        </w:rPr>
        <w:t>c</w:t>
      </w:r>
      <w:r w:rsidRPr="00AE2B70">
        <w:rPr>
          <w:sz w:val="24"/>
          <w:szCs w:val="24"/>
        </w:rPr>
        <w:t xml:space="preserve">ensus-based population estimates for a number of key household and individual demographic characteristic variables at Local Authority (LA) and Estimation Area (EA) levels (ONS, 2013).  The dual system estimator used the outcome of matching the </w:t>
      </w:r>
      <w:r>
        <w:rPr>
          <w:sz w:val="24"/>
          <w:szCs w:val="24"/>
        </w:rPr>
        <w:t>c</w:t>
      </w:r>
      <w:r w:rsidRPr="00AE2B70">
        <w:rPr>
          <w:sz w:val="24"/>
          <w:szCs w:val="24"/>
        </w:rPr>
        <w:t xml:space="preserve">ensus to the </w:t>
      </w:r>
      <w:r>
        <w:rPr>
          <w:sz w:val="24"/>
          <w:szCs w:val="24"/>
        </w:rPr>
        <w:t>c</w:t>
      </w:r>
      <w:r w:rsidRPr="00AE2B70">
        <w:rPr>
          <w:sz w:val="24"/>
          <w:szCs w:val="24"/>
        </w:rPr>
        <w:t>ensus Coverage Survey (CCS), and estimates were produced for around one hundred EAs (which consist of one or more LAs).  During the Census Adjustment stage, households and individuals estimated to have been missed from the census were imputed onto the census database across the whole estimation area, so that the household and individual level database was consistent with the population estimates already produced.</w:t>
      </w:r>
    </w:p>
    <w:p w14:paraId="0A933213" w14:textId="77777777" w:rsidR="006435ED" w:rsidRPr="00AE2B70" w:rsidRDefault="006435ED" w:rsidP="006435ED">
      <w:pPr>
        <w:spacing w:after="0" w:line="240" w:lineRule="auto"/>
        <w:rPr>
          <w:sz w:val="24"/>
          <w:szCs w:val="24"/>
        </w:rPr>
      </w:pPr>
    </w:p>
    <w:p w14:paraId="4BF4BAE0" w14:textId="77777777" w:rsidR="006435ED" w:rsidRPr="00AE2B70" w:rsidRDefault="006435ED" w:rsidP="006435ED">
      <w:pPr>
        <w:spacing w:after="0" w:line="240" w:lineRule="auto"/>
        <w:rPr>
          <w:i/>
          <w:sz w:val="24"/>
          <w:szCs w:val="24"/>
        </w:rPr>
      </w:pPr>
      <w:r w:rsidRPr="00AE2B70">
        <w:rPr>
          <w:sz w:val="24"/>
          <w:szCs w:val="24"/>
        </w:rPr>
        <w:t>The methods were designed to accommodate the “batched” delivery of raw census data</w:t>
      </w:r>
      <w:r w:rsidRPr="00AE2B70">
        <w:rPr>
          <w:color w:val="F79646" w:themeColor="accent6"/>
          <w:sz w:val="24"/>
          <w:szCs w:val="24"/>
        </w:rPr>
        <w:t xml:space="preserve"> </w:t>
      </w:r>
      <w:r w:rsidRPr="00AE2B70">
        <w:rPr>
          <w:sz w:val="24"/>
          <w:szCs w:val="24"/>
        </w:rPr>
        <w:t>as the paper questionnaires were processed following the 2011 Census</w:t>
      </w:r>
      <w:r w:rsidRPr="00AE2B70">
        <w:rPr>
          <w:color w:val="F79646" w:themeColor="accent6"/>
          <w:sz w:val="24"/>
          <w:szCs w:val="24"/>
        </w:rPr>
        <w:t>.</w:t>
      </w:r>
      <w:r w:rsidRPr="00AE2B70">
        <w:rPr>
          <w:sz w:val="24"/>
          <w:szCs w:val="24"/>
        </w:rPr>
        <w:t xml:space="preserve"> In 2021 the online census enumeration will change the delivery of raw census data and although there are challenges and risks associated with this, it potentially enables more efficient and improved methods for the coverage estimation and adjustment.  </w:t>
      </w:r>
    </w:p>
    <w:p w14:paraId="06B1F128" w14:textId="77777777" w:rsidR="006435ED" w:rsidRPr="00AE2B70" w:rsidRDefault="006435ED" w:rsidP="006435ED">
      <w:pPr>
        <w:spacing w:after="0" w:line="240" w:lineRule="auto"/>
        <w:rPr>
          <w:sz w:val="24"/>
          <w:szCs w:val="24"/>
        </w:rPr>
      </w:pPr>
    </w:p>
    <w:p w14:paraId="737D2D79" w14:textId="77777777" w:rsidR="006435ED" w:rsidRPr="00AE2B70" w:rsidRDefault="006435ED" w:rsidP="006435ED">
      <w:pPr>
        <w:spacing w:after="0" w:line="240" w:lineRule="auto"/>
        <w:rPr>
          <w:sz w:val="24"/>
          <w:szCs w:val="24"/>
        </w:rPr>
      </w:pPr>
      <w:r w:rsidRPr="00AE2B70">
        <w:rPr>
          <w:sz w:val="24"/>
          <w:szCs w:val="24"/>
        </w:rPr>
        <w:t>This paper sets out the strategy for the 2021 Census Coverage Adjustment; it assumes that the census population estimates are available for a variety of basic demographic characteristics for both households and individuals in Local Authority areas, and that these estimates account for patterns of under and over coverage that are typically concentrated within geographical areas and across population subgroups. The new adjustment strategy addresses two main factors; the practical difficulties that were experienced during implementation of the 2011 methods and secondly the new strategy and outputs from the initial coverage estimation.</w:t>
      </w:r>
    </w:p>
    <w:p w14:paraId="24465FAA" w14:textId="77777777" w:rsidR="006435ED" w:rsidRPr="00AE2B70" w:rsidRDefault="006435ED" w:rsidP="006435ED">
      <w:pPr>
        <w:spacing w:after="0" w:line="240" w:lineRule="auto"/>
        <w:rPr>
          <w:sz w:val="24"/>
          <w:szCs w:val="24"/>
        </w:rPr>
      </w:pPr>
    </w:p>
    <w:p w14:paraId="3AD0B508" w14:textId="77777777" w:rsidR="006435ED" w:rsidRPr="00AE2B70" w:rsidRDefault="006435ED" w:rsidP="006435ED">
      <w:pPr>
        <w:spacing w:after="0" w:line="240" w:lineRule="auto"/>
        <w:rPr>
          <w:sz w:val="24"/>
          <w:szCs w:val="24"/>
        </w:rPr>
      </w:pPr>
    </w:p>
    <w:p w14:paraId="73BDB730"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Summary of 2011 Adjustment Strategy</w:t>
      </w:r>
    </w:p>
    <w:p w14:paraId="5029B0FC" w14:textId="77777777" w:rsidR="006435ED" w:rsidRPr="00AE2B70" w:rsidRDefault="006435ED" w:rsidP="006435ED">
      <w:pPr>
        <w:pStyle w:val="NormalWeb"/>
        <w:spacing w:beforeLines="20" w:before="48" w:beforeAutospacing="0" w:after="0" w:afterAutospacing="0"/>
        <w:rPr>
          <w:rFonts w:asciiTheme="minorHAnsi" w:eastAsiaTheme="minorEastAsia" w:hAnsiTheme="minorHAnsi" w:cstheme="minorBidi"/>
          <w:kern w:val="24"/>
        </w:rPr>
      </w:pPr>
      <w:r w:rsidRPr="00AE2B70">
        <w:rPr>
          <w:rFonts w:asciiTheme="minorHAnsi" w:eastAsiaTheme="minorEastAsia" w:hAnsiTheme="minorHAnsi" w:cstheme="minorBidi"/>
          <w:kern w:val="24"/>
        </w:rPr>
        <w:t xml:space="preserve">The 2011 adjustment strategy </w:t>
      </w:r>
      <w:r>
        <w:rPr>
          <w:rFonts w:asciiTheme="minorHAnsi" w:eastAsiaTheme="minorEastAsia" w:hAnsiTheme="minorHAnsi" w:cstheme="minorBidi"/>
          <w:kern w:val="24"/>
        </w:rPr>
        <w:t xml:space="preserve">detailed by Brown et al. (2011) was based on the 2001 methods developed by Steele et al. (2002). In summary it </w:t>
      </w:r>
      <w:r w:rsidRPr="00AE2B70">
        <w:rPr>
          <w:rFonts w:asciiTheme="minorHAnsi" w:eastAsiaTheme="minorEastAsia" w:hAnsiTheme="minorHAnsi" w:cstheme="minorBidi"/>
          <w:kern w:val="24"/>
        </w:rPr>
        <w:t xml:space="preserve">consisted of three main stages: </w:t>
      </w:r>
    </w:p>
    <w:p w14:paraId="6A7799D2" w14:textId="77777777" w:rsidR="006435ED" w:rsidRPr="00AE2B70" w:rsidRDefault="006435ED" w:rsidP="006435ED">
      <w:pPr>
        <w:pStyle w:val="NormalWeb"/>
        <w:numPr>
          <w:ilvl w:val="0"/>
          <w:numId w:val="22"/>
        </w:numPr>
        <w:spacing w:before="0" w:beforeAutospacing="0" w:after="0" w:afterAutospacing="0"/>
        <w:rPr>
          <w:rFonts w:asciiTheme="minorHAnsi" w:hAnsiTheme="minorHAnsi"/>
        </w:rPr>
      </w:pPr>
      <w:r w:rsidRPr="00AE2B70">
        <w:rPr>
          <w:rFonts w:asciiTheme="minorHAnsi" w:eastAsiaTheme="minorEastAsia" w:hAnsiTheme="minorHAnsi" w:cstheme="minorBidi"/>
          <w:kern w:val="24"/>
        </w:rPr>
        <w:t xml:space="preserve">Imputation of persons missed from counted households, </w:t>
      </w:r>
    </w:p>
    <w:p w14:paraId="09550B2C" w14:textId="77777777" w:rsidR="006435ED" w:rsidRPr="00AE2B70" w:rsidRDefault="006435ED" w:rsidP="006435ED">
      <w:pPr>
        <w:pStyle w:val="NormalWeb"/>
        <w:numPr>
          <w:ilvl w:val="0"/>
          <w:numId w:val="22"/>
        </w:numPr>
        <w:spacing w:before="0" w:beforeAutospacing="0" w:after="0" w:afterAutospacing="0"/>
        <w:rPr>
          <w:rFonts w:asciiTheme="minorHAnsi" w:hAnsiTheme="minorHAnsi"/>
        </w:rPr>
      </w:pPr>
      <w:r w:rsidRPr="00AE2B70">
        <w:rPr>
          <w:rFonts w:asciiTheme="minorHAnsi" w:eastAsiaTheme="minorEastAsia" w:hAnsiTheme="minorHAnsi" w:cstheme="minorBidi"/>
          <w:kern w:val="24"/>
        </w:rPr>
        <w:lastRenderedPageBreak/>
        <w:t>Imputation of missed households (and persons within them), and</w:t>
      </w:r>
    </w:p>
    <w:p w14:paraId="1E9A5075" w14:textId="77777777" w:rsidR="006435ED" w:rsidRPr="00AE2B70" w:rsidRDefault="006435ED" w:rsidP="006435ED">
      <w:pPr>
        <w:pStyle w:val="NormalWeb"/>
        <w:numPr>
          <w:ilvl w:val="0"/>
          <w:numId w:val="22"/>
        </w:numPr>
        <w:spacing w:before="0" w:beforeAutospacing="0" w:after="0" w:afterAutospacing="0"/>
        <w:rPr>
          <w:rFonts w:asciiTheme="minorHAnsi" w:hAnsiTheme="minorHAnsi"/>
        </w:rPr>
      </w:pPr>
      <w:r w:rsidRPr="00AE2B70">
        <w:rPr>
          <w:rFonts w:asciiTheme="minorHAnsi" w:eastAsiaTheme="minorEastAsia" w:hAnsiTheme="minorHAnsi" w:cstheme="minorBidi"/>
          <w:kern w:val="24"/>
        </w:rPr>
        <w:t xml:space="preserve">Imputation of characteristic variables for the persons and households imputed in stage 1 and 2. </w:t>
      </w:r>
    </w:p>
    <w:p w14:paraId="210D5832" w14:textId="77777777" w:rsidR="006435ED" w:rsidRPr="00AE2B70" w:rsidRDefault="006435ED" w:rsidP="006435ED">
      <w:pPr>
        <w:pStyle w:val="NormalWeb"/>
        <w:spacing w:before="200" w:beforeAutospacing="0" w:after="0" w:afterAutospacing="0"/>
        <w:rPr>
          <w:rFonts w:asciiTheme="minorHAnsi" w:eastAsiaTheme="minorEastAsia" w:hAnsiTheme="minorHAnsi" w:cstheme="minorBidi"/>
          <w:kern w:val="24"/>
        </w:rPr>
      </w:pPr>
      <w:r w:rsidRPr="00AE2B70">
        <w:rPr>
          <w:rFonts w:asciiTheme="minorHAnsi" w:eastAsiaTheme="minorEastAsia" w:hAnsiTheme="minorHAnsi" w:cstheme="minorBidi"/>
          <w:kern w:val="24"/>
        </w:rPr>
        <w:t>The same basic steps were used for imputing missed persons and then households (i.e. the steps were repeated for both stages 1 and 2):</w:t>
      </w:r>
    </w:p>
    <w:p w14:paraId="17FD38C7" w14:textId="77777777" w:rsidR="006435ED" w:rsidRPr="00AE2B70" w:rsidRDefault="006435ED" w:rsidP="006435ED">
      <w:pPr>
        <w:pStyle w:val="NormalWeb"/>
        <w:numPr>
          <w:ilvl w:val="0"/>
          <w:numId w:val="26"/>
        </w:numPr>
        <w:spacing w:before="200" w:beforeAutospacing="0" w:after="0" w:afterAutospacing="0"/>
        <w:ind w:left="714" w:hanging="357"/>
        <w:rPr>
          <w:rFonts w:asciiTheme="minorHAnsi" w:hAnsiTheme="minorHAnsi"/>
        </w:rPr>
      </w:pPr>
      <w:r w:rsidRPr="00AE2B70">
        <w:rPr>
          <w:rFonts w:asciiTheme="minorHAnsi" w:eastAsiaTheme="minorEastAsia" w:hAnsiTheme="minorHAnsi"/>
          <w:kern w:val="24"/>
        </w:rPr>
        <w:t xml:space="preserve">Derive </w:t>
      </w:r>
      <w:r>
        <w:rPr>
          <w:rFonts w:asciiTheme="minorHAnsi" w:eastAsiaTheme="minorEastAsia" w:hAnsiTheme="minorHAnsi"/>
          <w:kern w:val="24"/>
        </w:rPr>
        <w:t>c</w:t>
      </w:r>
      <w:r w:rsidRPr="00AE2B70">
        <w:rPr>
          <w:rFonts w:asciiTheme="minorHAnsi" w:eastAsiaTheme="minorEastAsia" w:hAnsiTheme="minorHAnsi"/>
          <w:kern w:val="24"/>
        </w:rPr>
        <w:t xml:space="preserve">ensus weights which represent the probability of a person or household being missed from the census. </w:t>
      </w:r>
    </w:p>
    <w:p w14:paraId="6877F020" w14:textId="77777777" w:rsidR="006435ED" w:rsidRPr="00AE2B70" w:rsidRDefault="006435ED" w:rsidP="006435ED">
      <w:pPr>
        <w:pStyle w:val="ListParagraph"/>
        <w:rPr>
          <w:rFonts w:asciiTheme="minorHAnsi" w:hAnsiTheme="minorHAnsi"/>
        </w:rPr>
      </w:pPr>
      <w:r w:rsidRPr="00AE2B70">
        <w:rPr>
          <w:rFonts w:asciiTheme="minorHAnsi" w:eastAsiaTheme="minorEastAsia" w:hAnsiTheme="minorHAnsi" w:cstheme="minorBidi"/>
          <w:kern w:val="24"/>
        </w:rPr>
        <w:t xml:space="preserve">These weights were derived using the matched Census-Census Coverage Survey </w:t>
      </w:r>
      <w:r>
        <w:rPr>
          <w:rFonts w:asciiTheme="minorHAnsi" w:eastAsiaTheme="minorEastAsia" w:hAnsiTheme="minorHAnsi" w:cstheme="minorBidi"/>
          <w:kern w:val="24"/>
        </w:rPr>
        <w:t xml:space="preserve">data </w:t>
      </w:r>
      <w:r w:rsidRPr="00AE2B70">
        <w:rPr>
          <w:rFonts w:asciiTheme="minorHAnsi" w:eastAsiaTheme="minorEastAsia" w:hAnsiTheme="minorHAnsi" w:cstheme="minorBidi"/>
          <w:kern w:val="24"/>
        </w:rPr>
        <w:t>to model persons missed in counted households (stage 1) and missed households (stage 2). Multinomial and binomial logistic regression models were used respectively to model the probability of being missed in the census enumeration against individual and household level characteristics that were associated with non-response (including the hard to count (HtC) index). The appropriate coverage weights were calculated from these models.</w:t>
      </w:r>
    </w:p>
    <w:p w14:paraId="5C43E08D" w14:textId="77777777" w:rsidR="006435ED" w:rsidRPr="00AE2B70" w:rsidRDefault="006435ED" w:rsidP="006435ED">
      <w:pPr>
        <w:pStyle w:val="ListParagraph"/>
        <w:rPr>
          <w:rFonts w:asciiTheme="minorHAnsi" w:eastAsiaTheme="minorEastAsia" w:hAnsiTheme="minorHAnsi" w:cstheme="minorBidi"/>
          <w:kern w:val="24"/>
        </w:rPr>
      </w:pPr>
    </w:p>
    <w:p w14:paraId="330A74C3" w14:textId="77777777" w:rsidR="006435ED" w:rsidRPr="00AE2B70" w:rsidRDefault="006435ED" w:rsidP="006435ED">
      <w:pPr>
        <w:pStyle w:val="ListParagraph"/>
        <w:numPr>
          <w:ilvl w:val="0"/>
          <w:numId w:val="24"/>
        </w:numPr>
        <w:rPr>
          <w:rFonts w:asciiTheme="minorHAnsi" w:hAnsiTheme="minorHAnsi"/>
        </w:rPr>
      </w:pPr>
      <w:r w:rsidRPr="00AE2B70">
        <w:rPr>
          <w:rFonts w:asciiTheme="minorHAnsi" w:eastAsiaTheme="minorEastAsia" w:hAnsiTheme="minorHAnsi" w:cstheme="minorBidi"/>
          <w:kern w:val="24"/>
        </w:rPr>
        <w:t xml:space="preserve">Calibrate the weights to coverage estimation benchmarks (i.e. higher-level estimates at EA and LA levels). </w:t>
      </w:r>
    </w:p>
    <w:p w14:paraId="332E3A20" w14:textId="77777777" w:rsidR="006435ED" w:rsidRPr="00AE2B70" w:rsidRDefault="006435ED" w:rsidP="006435ED">
      <w:pPr>
        <w:pStyle w:val="ListParagraph"/>
        <w:rPr>
          <w:rFonts w:asciiTheme="minorHAnsi" w:eastAsiaTheme="minorEastAsia" w:hAnsiTheme="minorHAnsi" w:cstheme="minorBidi"/>
          <w:kern w:val="24"/>
        </w:rPr>
      </w:pPr>
      <w:r w:rsidRPr="00AE2B70">
        <w:rPr>
          <w:rFonts w:asciiTheme="minorHAnsi" w:eastAsiaTheme="minorEastAsia" w:hAnsiTheme="minorHAnsi" w:cstheme="minorBidi"/>
          <w:kern w:val="24"/>
        </w:rPr>
        <w:t xml:space="preserve">The coverage weights derived in step i) above were calibrated to the census population estimates derived from the estimation system. The calibration was </w:t>
      </w:r>
      <w:r>
        <w:rPr>
          <w:rFonts w:asciiTheme="minorHAnsi" w:eastAsiaTheme="minorEastAsia" w:hAnsiTheme="minorHAnsi" w:cstheme="minorBidi"/>
          <w:kern w:val="24"/>
        </w:rPr>
        <w:t>attempted</w:t>
      </w:r>
      <w:r w:rsidRPr="00AE2B70">
        <w:rPr>
          <w:rFonts w:asciiTheme="minorHAnsi" w:eastAsiaTheme="minorEastAsia" w:hAnsiTheme="minorHAnsi" w:cstheme="minorBidi"/>
          <w:kern w:val="24"/>
        </w:rPr>
        <w:t xml:space="preserve"> by applying a raking ratio estimator where the weights were iteratively scaled to estimates for each variable in turn until </w:t>
      </w:r>
      <w:r>
        <w:rPr>
          <w:rFonts w:asciiTheme="minorHAnsi" w:eastAsiaTheme="minorEastAsia" w:hAnsiTheme="minorHAnsi" w:cstheme="minorBidi"/>
          <w:kern w:val="24"/>
        </w:rPr>
        <w:t xml:space="preserve">a </w:t>
      </w:r>
      <w:r w:rsidRPr="00AE2B70">
        <w:rPr>
          <w:rFonts w:asciiTheme="minorHAnsi" w:eastAsiaTheme="minorEastAsia" w:hAnsiTheme="minorHAnsi" w:cstheme="minorBidi"/>
          <w:kern w:val="24"/>
        </w:rPr>
        <w:t xml:space="preserve">convergence </w:t>
      </w:r>
      <w:r>
        <w:rPr>
          <w:rFonts w:asciiTheme="minorHAnsi" w:eastAsiaTheme="minorEastAsia" w:hAnsiTheme="minorHAnsi" w:cstheme="minorBidi"/>
          <w:kern w:val="24"/>
        </w:rPr>
        <w:t xml:space="preserve">criterion </w:t>
      </w:r>
      <w:r w:rsidRPr="00AE2B70">
        <w:rPr>
          <w:rFonts w:asciiTheme="minorHAnsi" w:eastAsiaTheme="minorEastAsia" w:hAnsiTheme="minorHAnsi" w:cstheme="minorBidi"/>
          <w:kern w:val="24"/>
        </w:rPr>
        <w:t xml:space="preserve">was achieved. The benchmarks included 5-year age, sex group totals by LAs and other key characteristics at EA level (see Appendix 1).   </w:t>
      </w:r>
    </w:p>
    <w:p w14:paraId="0F78BCF0" w14:textId="77777777" w:rsidR="006435ED" w:rsidRPr="00AE2B70" w:rsidRDefault="006435ED" w:rsidP="006435ED">
      <w:pPr>
        <w:pStyle w:val="ListParagraph"/>
        <w:rPr>
          <w:rFonts w:asciiTheme="minorHAnsi" w:hAnsiTheme="minorHAnsi"/>
        </w:rPr>
      </w:pPr>
    </w:p>
    <w:p w14:paraId="25F4F877" w14:textId="77777777" w:rsidR="006435ED" w:rsidRPr="00AE2B70" w:rsidRDefault="006435ED" w:rsidP="006435ED">
      <w:pPr>
        <w:pStyle w:val="ListParagraph"/>
        <w:numPr>
          <w:ilvl w:val="0"/>
          <w:numId w:val="24"/>
        </w:numPr>
        <w:rPr>
          <w:rFonts w:asciiTheme="minorHAnsi" w:hAnsiTheme="minorHAnsi"/>
        </w:rPr>
      </w:pPr>
      <w:r w:rsidRPr="00AE2B70">
        <w:rPr>
          <w:rFonts w:asciiTheme="minorHAnsi" w:eastAsiaTheme="minorEastAsia" w:hAnsiTheme="minorHAnsi" w:cstheme="minorBidi"/>
          <w:kern w:val="24"/>
        </w:rPr>
        <w:t>Selection of persons/households to be imputed.</w:t>
      </w:r>
    </w:p>
    <w:p w14:paraId="41ECA653" w14:textId="77777777" w:rsidR="006435ED" w:rsidRPr="00AE2B70" w:rsidRDefault="006435ED" w:rsidP="006435ED">
      <w:pPr>
        <w:pStyle w:val="ListParagraph"/>
        <w:rPr>
          <w:rFonts w:asciiTheme="minorHAnsi" w:hAnsiTheme="minorHAnsi"/>
        </w:rPr>
      </w:pPr>
      <w:r w:rsidRPr="00AE2B70">
        <w:rPr>
          <w:rFonts w:asciiTheme="minorHAnsi" w:hAnsiTheme="minorHAnsi"/>
        </w:rPr>
        <w:t xml:space="preserve">Cumulative (calibrated) weights were calculated and compared with the sum of persons or households for each LA at a time. When the weighted count became 1 or greater (compared to the unweighted count) this indicated that a person / household needed to be imputed, so the response was copied as a donor. The data were sorted by age/ sex group, calibrated weight, Output Area code and postcode prior to this step to ensure a representative distribution of donors across these variables (at least to some extent). </w:t>
      </w:r>
    </w:p>
    <w:p w14:paraId="2EB5A7BA" w14:textId="77777777" w:rsidR="006435ED" w:rsidRPr="00AE2B70" w:rsidRDefault="006435ED" w:rsidP="006435ED">
      <w:pPr>
        <w:pStyle w:val="ListParagraph"/>
        <w:rPr>
          <w:rFonts w:asciiTheme="minorHAnsi" w:hAnsiTheme="minorHAnsi"/>
        </w:rPr>
      </w:pPr>
    </w:p>
    <w:p w14:paraId="09F061CA" w14:textId="77777777" w:rsidR="006435ED" w:rsidRPr="00AE2B70" w:rsidRDefault="006435ED" w:rsidP="006435ED">
      <w:pPr>
        <w:pStyle w:val="ListParagraph"/>
        <w:numPr>
          <w:ilvl w:val="0"/>
          <w:numId w:val="24"/>
        </w:numPr>
        <w:rPr>
          <w:rFonts w:asciiTheme="minorHAnsi" w:hAnsiTheme="minorHAnsi"/>
        </w:rPr>
      </w:pPr>
      <w:r w:rsidRPr="00AE2B70">
        <w:rPr>
          <w:rFonts w:asciiTheme="minorHAnsi" w:eastAsiaTheme="minorEastAsia" w:hAnsiTheme="minorHAnsi" w:cstheme="minorBidi"/>
          <w:kern w:val="24"/>
        </w:rPr>
        <w:t>Placing missed persons/ households (imputation).</w:t>
      </w:r>
    </w:p>
    <w:p w14:paraId="65E44657" w14:textId="77777777" w:rsidR="006435ED" w:rsidRPr="00AE2B70" w:rsidRDefault="006435ED" w:rsidP="006435ED">
      <w:pPr>
        <w:spacing w:line="240" w:lineRule="auto"/>
        <w:ind w:left="720"/>
        <w:rPr>
          <w:sz w:val="24"/>
          <w:szCs w:val="24"/>
        </w:rPr>
      </w:pPr>
      <w:r w:rsidRPr="00AE2B70">
        <w:rPr>
          <w:sz w:val="24"/>
          <w:szCs w:val="24"/>
        </w:rPr>
        <w:t>The donor persons from steps i) to iii) (stage 1) were placed into households that were similar to that of the donor’s household had they had been missed where possible.  For example, if a donor is a man with a wife and child then he would be placed into a household with a woman and child. Where it was not possible to match the donor and recipient households the criteria were progressively relaxed.</w:t>
      </w:r>
    </w:p>
    <w:p w14:paraId="016B6E25" w14:textId="77777777" w:rsidR="006435ED" w:rsidRPr="00AE2B70" w:rsidRDefault="006435ED" w:rsidP="006435ED">
      <w:pPr>
        <w:spacing w:line="240" w:lineRule="auto"/>
        <w:ind w:left="720"/>
        <w:rPr>
          <w:color w:val="F79646" w:themeColor="accent6"/>
          <w:sz w:val="24"/>
          <w:szCs w:val="24"/>
        </w:rPr>
      </w:pPr>
      <w:r w:rsidRPr="00AE2B70">
        <w:rPr>
          <w:sz w:val="24"/>
          <w:szCs w:val="24"/>
        </w:rPr>
        <w:t xml:space="preserve">For the donor households from steps i) to iii) (stage 2) the household with its given characteristics was placed in the location where a suitable dummy form or “placeholder” was identified with the same characteristics. If a suitable form did not exist the donor household was placed in a random postcode within the donors output </w:t>
      </w:r>
      <w:r w:rsidRPr="00AE2B70">
        <w:rPr>
          <w:sz w:val="24"/>
          <w:szCs w:val="24"/>
        </w:rPr>
        <w:lastRenderedPageBreak/>
        <w:t xml:space="preserve">area. </w:t>
      </w:r>
      <w:r w:rsidRPr="00AE2B70">
        <w:rPr>
          <w:color w:val="000000" w:themeColor="text1"/>
          <w:sz w:val="24"/>
          <w:szCs w:val="24"/>
        </w:rPr>
        <w:t>Dummy forms were completed by the enumerator where a residence, household or accommodation was identified they but they were unable to achieve a response. They include some very basic information about the type of accommodation.</w:t>
      </w:r>
    </w:p>
    <w:p w14:paraId="116D428F" w14:textId="77777777" w:rsidR="006435ED" w:rsidRPr="00B22BC6" w:rsidRDefault="006435ED" w:rsidP="006435ED">
      <w:pPr>
        <w:spacing w:line="240" w:lineRule="auto"/>
        <w:rPr>
          <w:sz w:val="24"/>
          <w:szCs w:val="24"/>
        </w:rPr>
      </w:pPr>
      <w:r w:rsidRPr="00AE2B70">
        <w:rPr>
          <w:sz w:val="24"/>
          <w:szCs w:val="24"/>
        </w:rPr>
        <w:t xml:space="preserve">The imputed persons and households, together with some key characteristic variables, formed “Skeleton records”.  In stage 3, imputation of the remaining characteristic variables was completed using </w:t>
      </w:r>
      <w:r>
        <w:rPr>
          <w:sz w:val="24"/>
          <w:szCs w:val="24"/>
        </w:rPr>
        <w:t>CANadian Census Edit and Imputation System (CANCEIS)</w:t>
      </w:r>
      <w:r w:rsidRPr="00AE2B70">
        <w:rPr>
          <w:sz w:val="24"/>
          <w:szCs w:val="24"/>
        </w:rPr>
        <w:t xml:space="preserve"> methods and software.</w:t>
      </w:r>
      <w:r>
        <w:rPr>
          <w:sz w:val="24"/>
          <w:szCs w:val="24"/>
        </w:rPr>
        <w:t xml:space="preserve"> </w:t>
      </w:r>
      <w:r w:rsidRPr="00B22BC6">
        <w:rPr>
          <w:sz w:val="24"/>
          <w:szCs w:val="24"/>
        </w:rPr>
        <w:t>Further information on CANCEIS is available in the Edit and Imputation Process report (ONS, 2012).</w:t>
      </w:r>
    </w:p>
    <w:p w14:paraId="279F1582" w14:textId="77777777" w:rsidR="006435ED" w:rsidRPr="00AE2B70" w:rsidRDefault="006435ED" w:rsidP="006435ED">
      <w:pPr>
        <w:spacing w:line="240" w:lineRule="auto"/>
        <w:rPr>
          <w:sz w:val="24"/>
          <w:szCs w:val="24"/>
        </w:rPr>
      </w:pPr>
      <w:r>
        <w:rPr>
          <w:sz w:val="24"/>
          <w:szCs w:val="24"/>
        </w:rPr>
        <w:t xml:space="preserve">As described by ONS (2013), </w:t>
      </w:r>
      <w:r w:rsidRPr="00AE2B70">
        <w:rPr>
          <w:sz w:val="24"/>
          <w:szCs w:val="24"/>
        </w:rPr>
        <w:t>the adjustment methods were successful and worked reasonably well for the 2011 Census outputs, however there were some practical difficulties during implementation. In particular</w:t>
      </w:r>
      <w:r>
        <w:rPr>
          <w:sz w:val="24"/>
          <w:szCs w:val="24"/>
        </w:rPr>
        <w:t>,</w:t>
      </w:r>
      <w:r w:rsidRPr="00AE2B70">
        <w:rPr>
          <w:sz w:val="24"/>
          <w:szCs w:val="24"/>
        </w:rPr>
        <w:t xml:space="preserve"> t</w:t>
      </w:r>
      <w:r w:rsidRPr="00AE2B70">
        <w:rPr>
          <w:rFonts w:eastAsiaTheme="minorEastAsia"/>
          <w:color w:val="000000" w:themeColor="text1"/>
          <w:kern w:val="24"/>
          <w:sz w:val="24"/>
          <w:szCs w:val="24"/>
        </w:rPr>
        <w:t>he calibration did not always work well when constraining to both individual and household variables simultaneously. The solution was to cut the number of constraints when the optimal point in the calibration was achieved, then final convergence was obtained based only on a smaller selection of key variables. This was successful in that constraints for the most important variables were met well (e.g. age, sex totals and household tenure) but less so in that the constraints for household size and household ethnicity were not always met. Furthermore, the methodology was developed late due to other priorities and lack of resource. This meant that testing the methodology in full was not undertaken, and this resulted in some of the issues with calibration described above. Evaluation studies also found that the coverage models used were not always well specified and did not always fit well, due to the relatively small sample sizes for some groups in some EAs.</w:t>
      </w:r>
    </w:p>
    <w:p w14:paraId="1D08EBFD"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 xml:space="preserve">The 2021 Online Census </w:t>
      </w:r>
    </w:p>
    <w:p w14:paraId="7A521D3D" w14:textId="77777777" w:rsidR="006435ED" w:rsidRPr="00AE2B70" w:rsidRDefault="006435ED" w:rsidP="006435ED">
      <w:pPr>
        <w:spacing w:line="240" w:lineRule="auto"/>
        <w:rPr>
          <w:sz w:val="24"/>
          <w:szCs w:val="24"/>
        </w:rPr>
      </w:pPr>
      <w:r w:rsidRPr="00AE2B70">
        <w:rPr>
          <w:sz w:val="24"/>
          <w:szCs w:val="24"/>
        </w:rPr>
        <w:t xml:space="preserve">For 2021 there will be an online census of all households and communal establishments in England and Wales with special care taken to support those who are unable to complete the census online. The objective is to maximize response and minimize variability in response rates by optimising the census data collection. </w:t>
      </w:r>
    </w:p>
    <w:p w14:paraId="3B38AAEE" w14:textId="77777777" w:rsidR="006435ED" w:rsidRPr="00AE2B70" w:rsidRDefault="006435ED" w:rsidP="006435ED">
      <w:pPr>
        <w:spacing w:line="240" w:lineRule="auto"/>
        <w:rPr>
          <w:sz w:val="24"/>
          <w:szCs w:val="24"/>
        </w:rPr>
      </w:pPr>
      <w:r w:rsidRPr="00AE2B70">
        <w:rPr>
          <w:sz w:val="24"/>
          <w:szCs w:val="24"/>
        </w:rPr>
        <w:t>The online collection means that gains in accuracy and processing speed could potentially be achieved in the coverage estimation strategy</w:t>
      </w:r>
      <w:r>
        <w:rPr>
          <w:sz w:val="24"/>
          <w:szCs w:val="24"/>
        </w:rPr>
        <w:t xml:space="preserve"> as suggested by </w:t>
      </w:r>
      <w:r w:rsidRPr="00AE2B70">
        <w:rPr>
          <w:sz w:val="24"/>
          <w:szCs w:val="24"/>
        </w:rPr>
        <w:t>R</w:t>
      </w:r>
      <w:r>
        <w:rPr>
          <w:sz w:val="24"/>
          <w:szCs w:val="24"/>
        </w:rPr>
        <w:t>oss and Abbott (2015)</w:t>
      </w:r>
      <w:r w:rsidRPr="00AE2B70">
        <w:rPr>
          <w:sz w:val="24"/>
          <w:szCs w:val="24"/>
        </w:rPr>
        <w:t>, for example the census data for the entire country are going to be available for estimation quicker than previously, and therefore batching into estimation areas will not be necessary. The strategy</w:t>
      </w:r>
      <w:r>
        <w:rPr>
          <w:sz w:val="24"/>
          <w:szCs w:val="24"/>
        </w:rPr>
        <w:t xml:space="preserve"> developed by </w:t>
      </w:r>
      <w:r w:rsidRPr="00AE2B70">
        <w:rPr>
          <w:sz w:val="24"/>
          <w:szCs w:val="24"/>
        </w:rPr>
        <w:t xml:space="preserve">Racinskij </w:t>
      </w:r>
      <w:r>
        <w:rPr>
          <w:sz w:val="24"/>
          <w:szCs w:val="24"/>
        </w:rPr>
        <w:t>(</w:t>
      </w:r>
      <w:r w:rsidRPr="00AE2B70">
        <w:rPr>
          <w:sz w:val="24"/>
          <w:szCs w:val="24"/>
        </w:rPr>
        <w:t>2018</w:t>
      </w:r>
      <w:r>
        <w:rPr>
          <w:sz w:val="24"/>
          <w:szCs w:val="24"/>
        </w:rPr>
        <w:t xml:space="preserve">) </w:t>
      </w:r>
      <w:r w:rsidRPr="00AE2B70">
        <w:rPr>
          <w:sz w:val="24"/>
          <w:szCs w:val="24"/>
        </w:rPr>
        <w:t xml:space="preserve">is that the Coverage Estimation can be carried out either at national or at regional levels rather than for EAs as in 2011, and </w:t>
      </w:r>
      <w:r>
        <w:rPr>
          <w:sz w:val="24"/>
          <w:szCs w:val="24"/>
        </w:rPr>
        <w:t>c</w:t>
      </w:r>
      <w:r w:rsidRPr="00AE2B70">
        <w:rPr>
          <w:sz w:val="24"/>
          <w:szCs w:val="24"/>
        </w:rPr>
        <w:t>ensus coverage can be estimated for a larger set of characteristics. The plan is that logistic or mixed effects logistic regression models will be used to obtain non-response weights for individuals / households with given characteristics and the weights can then be applied to each census return with the same set of characteristics.  The sum of the weighted census observations will provide estimates for the population subgroup of interest.</w:t>
      </w:r>
    </w:p>
    <w:p w14:paraId="08022EC7" w14:textId="77777777" w:rsidR="006435ED" w:rsidRPr="00AE2B70" w:rsidRDefault="006435ED" w:rsidP="006435ED">
      <w:pPr>
        <w:spacing w:line="240" w:lineRule="auto"/>
        <w:rPr>
          <w:sz w:val="24"/>
          <w:szCs w:val="24"/>
        </w:rPr>
      </w:pPr>
      <w:r w:rsidRPr="00AE2B70">
        <w:rPr>
          <w:sz w:val="24"/>
          <w:szCs w:val="24"/>
        </w:rPr>
        <w:t xml:space="preserve">As well as higher overall accuracy both at national and subnational levels the models may potentially provide weights by a wider set of variables (other than the effects of age, sex, HtC, geography and other covariates used). Higher level population estimates for variables such as </w:t>
      </w:r>
      <w:r w:rsidRPr="00AE2B70">
        <w:rPr>
          <w:sz w:val="24"/>
          <w:szCs w:val="24"/>
        </w:rPr>
        <w:lastRenderedPageBreak/>
        <w:t>ethnicity, activity last week, tenure, household relationships etc. would then be available by Local Authority from a single estimation process.</w:t>
      </w:r>
    </w:p>
    <w:p w14:paraId="56C93240"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2021 adjustment strategy</w:t>
      </w:r>
    </w:p>
    <w:p w14:paraId="7F99B6A9" w14:textId="77777777" w:rsidR="006435ED" w:rsidRPr="00AE2B70" w:rsidRDefault="006435ED" w:rsidP="006435ED">
      <w:pPr>
        <w:spacing w:after="0" w:line="240" w:lineRule="auto"/>
        <w:rPr>
          <w:sz w:val="24"/>
          <w:szCs w:val="24"/>
        </w:rPr>
      </w:pPr>
      <w:r w:rsidRPr="00AE2B70">
        <w:rPr>
          <w:sz w:val="24"/>
          <w:szCs w:val="24"/>
        </w:rPr>
        <w:t xml:space="preserve">The strategy for 2021 Census adjustment aligns the methods with those used for the higher-level coverage estimation, and addresses the implementation difficulties encountered with the 2011 adjustment system.  Specifically, it will make use of Local Authority </w:t>
      </w:r>
      <w:r>
        <w:rPr>
          <w:sz w:val="24"/>
          <w:szCs w:val="24"/>
        </w:rPr>
        <w:t>c</w:t>
      </w:r>
      <w:r w:rsidRPr="00AE2B70">
        <w:rPr>
          <w:sz w:val="24"/>
          <w:szCs w:val="24"/>
        </w:rPr>
        <w:t xml:space="preserve">ensus population estimates for the wider range of key demographic characteristics produced by the estimation system, as constraints, and uses the combinatorial optimisation method (a synthetic micro simulation technique) in place of the calibration methods to obtain a unit level database that meets these high-level benchmarks, as explored by Oguz and Abbott (2016). The adjustment will be made on a net basis, i.e. the assumption is that under-coverage will always be larger than over-coverage and so the methodology will only create new records and will not remove any existing records on the </w:t>
      </w:r>
      <w:r>
        <w:rPr>
          <w:sz w:val="24"/>
          <w:szCs w:val="24"/>
        </w:rPr>
        <w:t>c</w:t>
      </w:r>
      <w:r w:rsidRPr="00AE2B70">
        <w:rPr>
          <w:sz w:val="24"/>
          <w:szCs w:val="24"/>
        </w:rPr>
        <w:t xml:space="preserve">ensus database. Should this assumption be violated, and over-coverage is significant, then a separate methodology for dealing with over-coverage would need to be developed. At present, there is no requirement or plans to develop such an approach. </w:t>
      </w:r>
    </w:p>
    <w:p w14:paraId="4701636F" w14:textId="77777777" w:rsidR="006435ED" w:rsidRPr="00AE2B70" w:rsidRDefault="006435ED" w:rsidP="006435ED">
      <w:pPr>
        <w:spacing w:after="0" w:line="240" w:lineRule="auto"/>
        <w:rPr>
          <w:sz w:val="24"/>
          <w:szCs w:val="24"/>
        </w:rPr>
      </w:pPr>
    </w:p>
    <w:p w14:paraId="1B5084D9" w14:textId="77777777" w:rsidR="006435ED" w:rsidRPr="00AE2B70" w:rsidRDefault="006435ED" w:rsidP="006435ED">
      <w:pPr>
        <w:spacing w:after="0" w:line="240" w:lineRule="auto"/>
        <w:rPr>
          <w:sz w:val="24"/>
          <w:szCs w:val="24"/>
        </w:rPr>
      </w:pPr>
      <w:r w:rsidRPr="00AE2B70">
        <w:rPr>
          <w:sz w:val="24"/>
          <w:szCs w:val="24"/>
        </w:rPr>
        <w:t xml:space="preserve">It is proposed that the adjustment system is simplified from a three stage to a two-stage approach for 2021, to: </w:t>
      </w:r>
    </w:p>
    <w:p w14:paraId="7B054568" w14:textId="77777777" w:rsidR="006435ED" w:rsidRPr="00AE2B70" w:rsidRDefault="006435ED" w:rsidP="006435ED">
      <w:pPr>
        <w:pStyle w:val="ListParagraph"/>
        <w:numPr>
          <w:ilvl w:val="0"/>
          <w:numId w:val="21"/>
        </w:numPr>
        <w:ind w:left="714" w:hanging="357"/>
        <w:rPr>
          <w:rFonts w:asciiTheme="minorHAnsi" w:hAnsiTheme="minorHAnsi"/>
        </w:rPr>
      </w:pPr>
      <w:r w:rsidRPr="00AE2B70">
        <w:rPr>
          <w:rFonts w:asciiTheme="minorHAnsi" w:eastAsiaTheme="minorEastAsia" w:hAnsiTheme="minorHAnsi"/>
          <w:kern w:val="24"/>
        </w:rPr>
        <w:t>Impute missed households (and persons within them)</w:t>
      </w:r>
    </w:p>
    <w:p w14:paraId="1444990D" w14:textId="77777777" w:rsidR="006435ED" w:rsidRPr="00AE2B70" w:rsidRDefault="006435ED" w:rsidP="006435ED">
      <w:pPr>
        <w:pStyle w:val="ListParagraph"/>
        <w:numPr>
          <w:ilvl w:val="0"/>
          <w:numId w:val="21"/>
        </w:numPr>
        <w:ind w:left="714" w:hanging="357"/>
        <w:rPr>
          <w:rFonts w:asciiTheme="minorHAnsi" w:hAnsiTheme="minorHAnsi"/>
        </w:rPr>
      </w:pPr>
      <w:r w:rsidRPr="00AE2B70">
        <w:rPr>
          <w:rFonts w:asciiTheme="minorHAnsi" w:eastAsiaTheme="minorEastAsia" w:hAnsiTheme="minorHAnsi" w:cstheme="minorBidi"/>
          <w:kern w:val="24"/>
        </w:rPr>
        <w:t>Impute characteristic variables for the persons and households imputed in stage 1,</w:t>
      </w:r>
    </w:p>
    <w:p w14:paraId="26B03B5A" w14:textId="77777777" w:rsidR="006435ED" w:rsidRPr="00AE2B70" w:rsidRDefault="006435ED" w:rsidP="006435ED">
      <w:pPr>
        <w:pStyle w:val="ListParagraph"/>
        <w:ind w:left="1080"/>
        <w:rPr>
          <w:rFonts w:asciiTheme="minorHAnsi" w:hAnsiTheme="minorHAnsi"/>
        </w:rPr>
      </w:pPr>
    </w:p>
    <w:p w14:paraId="51E1A4F1" w14:textId="77777777" w:rsidR="006435ED" w:rsidRPr="00AE2B70" w:rsidRDefault="006435ED" w:rsidP="006435ED">
      <w:pPr>
        <w:spacing w:line="240" w:lineRule="auto"/>
        <w:rPr>
          <w:rFonts w:eastAsiaTheme="minorEastAsia"/>
          <w:kern w:val="24"/>
          <w:sz w:val="24"/>
          <w:szCs w:val="24"/>
        </w:rPr>
      </w:pPr>
      <w:r w:rsidRPr="00AE2B70">
        <w:rPr>
          <w:rFonts w:eastAsiaTheme="minorEastAsia"/>
          <w:kern w:val="24"/>
          <w:sz w:val="24"/>
          <w:szCs w:val="24"/>
        </w:rPr>
        <w:t>and has the following steps at stage 1:</w:t>
      </w:r>
    </w:p>
    <w:p w14:paraId="588182B2" w14:textId="77777777" w:rsidR="006435ED" w:rsidRPr="00AE2B70" w:rsidRDefault="006435ED" w:rsidP="006435ED">
      <w:pPr>
        <w:pStyle w:val="ListParagraph"/>
        <w:numPr>
          <w:ilvl w:val="0"/>
          <w:numId w:val="8"/>
        </w:numPr>
        <w:rPr>
          <w:rFonts w:asciiTheme="minorHAnsi" w:eastAsiaTheme="minorEastAsia" w:hAnsiTheme="minorHAnsi"/>
          <w:kern w:val="24"/>
        </w:rPr>
      </w:pPr>
      <w:r w:rsidRPr="00AE2B70">
        <w:rPr>
          <w:rFonts w:asciiTheme="minorHAnsi" w:eastAsiaTheme="minorEastAsia" w:hAnsiTheme="minorHAnsi"/>
          <w:kern w:val="24"/>
        </w:rPr>
        <w:t>Derive integer benchmarks for population and household totals by key demographic characteristics that represent the missed households and people within them, using the coverage weights provided by the initial coverage estimation system</w:t>
      </w:r>
    </w:p>
    <w:p w14:paraId="7B7FDC00" w14:textId="77777777" w:rsidR="006435ED" w:rsidRPr="00AE2B70" w:rsidRDefault="006435ED" w:rsidP="006435ED">
      <w:pPr>
        <w:pStyle w:val="ListParagraph"/>
        <w:numPr>
          <w:ilvl w:val="0"/>
          <w:numId w:val="8"/>
        </w:numPr>
        <w:rPr>
          <w:rFonts w:asciiTheme="minorHAnsi" w:eastAsiaTheme="minorEastAsia" w:hAnsiTheme="minorHAnsi"/>
          <w:kern w:val="24"/>
        </w:rPr>
      </w:pPr>
      <w:r w:rsidRPr="00AE2B70">
        <w:rPr>
          <w:rFonts w:asciiTheme="minorHAnsi" w:eastAsiaTheme="minorEastAsia" w:hAnsiTheme="minorHAnsi"/>
          <w:kern w:val="24"/>
        </w:rPr>
        <w:t>Select donor households using the combinatorial optimisation methods, ensuring the benchmarks in 1 above are maintained</w:t>
      </w:r>
    </w:p>
    <w:p w14:paraId="7327D712" w14:textId="77777777" w:rsidR="006435ED" w:rsidRPr="00AE2B70" w:rsidRDefault="006435ED" w:rsidP="006435ED">
      <w:pPr>
        <w:pStyle w:val="ListParagraph"/>
        <w:numPr>
          <w:ilvl w:val="0"/>
          <w:numId w:val="8"/>
        </w:numPr>
        <w:rPr>
          <w:rFonts w:asciiTheme="minorHAnsi" w:eastAsiaTheme="minorEastAsia" w:hAnsiTheme="minorHAnsi"/>
          <w:kern w:val="24"/>
        </w:rPr>
      </w:pPr>
      <w:r w:rsidRPr="00AE2B70">
        <w:rPr>
          <w:rFonts w:asciiTheme="minorHAnsi" w:eastAsiaTheme="minorEastAsia" w:hAnsiTheme="minorHAnsi"/>
          <w:kern w:val="24"/>
        </w:rPr>
        <w:t>Place the donor households in an appropriate output area</w:t>
      </w:r>
    </w:p>
    <w:p w14:paraId="5A72BD1B" w14:textId="77777777" w:rsidR="006435ED" w:rsidRPr="00AE2B70" w:rsidRDefault="006435ED" w:rsidP="006435ED">
      <w:pPr>
        <w:spacing w:line="240" w:lineRule="auto"/>
        <w:rPr>
          <w:rFonts w:eastAsiaTheme="minorEastAsia"/>
          <w:b/>
          <w:bCs/>
          <w:color w:val="000000" w:themeColor="text1"/>
          <w:kern w:val="24"/>
          <w:sz w:val="24"/>
          <w:szCs w:val="24"/>
        </w:rPr>
      </w:pPr>
    </w:p>
    <w:p w14:paraId="7ECDA07A" w14:textId="77777777" w:rsidR="006435ED" w:rsidRPr="00AE2B70" w:rsidRDefault="006435ED" w:rsidP="006435ED">
      <w:pPr>
        <w:spacing w:line="240" w:lineRule="auto"/>
        <w:rPr>
          <w:i/>
          <w:color w:val="F79646" w:themeColor="accent6"/>
          <w:sz w:val="24"/>
          <w:szCs w:val="24"/>
        </w:rPr>
      </w:pPr>
      <w:r w:rsidRPr="00AE2B70">
        <w:rPr>
          <w:sz w:val="24"/>
          <w:szCs w:val="24"/>
        </w:rPr>
        <w:t>The justification for simplifying to a two-stage process is that persons missed in counted households will be implicitly corrected through the selection, and placement of donor households that account for both individual and household characteristic benchmarks. So, for example if a man is missed from a household with a woman and child, instead of imputing a man into an existing two-person household we impute a three-person household and omit imputation of a two-person household to compensate. The aim is to obtain representative aggregate level population totals rather than an accurate unit level data base. It also reduces complexity in the methodology, and therefore the risk of problems like those experienced in 2011.</w:t>
      </w:r>
    </w:p>
    <w:p w14:paraId="31926933" w14:textId="77777777" w:rsidR="006435ED" w:rsidRDefault="006435ED" w:rsidP="006435ED">
      <w:pPr>
        <w:spacing w:line="240" w:lineRule="auto"/>
        <w:rPr>
          <w:rFonts w:eastAsiaTheme="minorEastAsia"/>
          <w:bCs/>
          <w:color w:val="000000" w:themeColor="text1"/>
          <w:kern w:val="24"/>
          <w:sz w:val="24"/>
          <w:szCs w:val="24"/>
        </w:rPr>
      </w:pPr>
    </w:p>
    <w:p w14:paraId="58DA8D30" w14:textId="77777777" w:rsidR="006435ED" w:rsidRPr="00AE2B70" w:rsidRDefault="006435ED" w:rsidP="006435ED">
      <w:pPr>
        <w:spacing w:line="240" w:lineRule="auto"/>
        <w:rPr>
          <w:rFonts w:eastAsiaTheme="minorEastAsia"/>
          <w:bCs/>
          <w:color w:val="000000" w:themeColor="text1"/>
          <w:kern w:val="24"/>
          <w:sz w:val="24"/>
          <w:szCs w:val="24"/>
        </w:rPr>
      </w:pPr>
      <w:r w:rsidRPr="00AE2B70">
        <w:rPr>
          <w:rFonts w:eastAsiaTheme="minorEastAsia"/>
          <w:bCs/>
          <w:color w:val="000000" w:themeColor="text1"/>
          <w:kern w:val="24"/>
          <w:sz w:val="24"/>
          <w:szCs w:val="24"/>
        </w:rPr>
        <w:lastRenderedPageBreak/>
        <w:t xml:space="preserve">The combinatorial optimisation method replaces the following steps in the 2011 system: </w:t>
      </w:r>
    </w:p>
    <w:p w14:paraId="5367451A" w14:textId="77777777" w:rsidR="006435ED" w:rsidRPr="00AE2B70" w:rsidRDefault="006435ED" w:rsidP="006435ED">
      <w:pPr>
        <w:pStyle w:val="ListParagraph"/>
        <w:numPr>
          <w:ilvl w:val="0"/>
          <w:numId w:val="23"/>
        </w:numPr>
        <w:rPr>
          <w:rFonts w:asciiTheme="minorHAnsi" w:eastAsiaTheme="minorEastAsia" w:hAnsiTheme="minorHAnsi"/>
          <w:b/>
          <w:bCs/>
          <w:kern w:val="24"/>
        </w:rPr>
      </w:pPr>
      <w:r w:rsidRPr="00AE2B70">
        <w:rPr>
          <w:rFonts w:asciiTheme="minorHAnsi" w:eastAsiaTheme="minorEastAsia" w:hAnsiTheme="minorHAnsi"/>
          <w:kern w:val="24"/>
        </w:rPr>
        <w:t>Calibrate weights to coverage estimation benchmarks (at EA and LA levels)</w:t>
      </w:r>
    </w:p>
    <w:p w14:paraId="3BD2C80B" w14:textId="77777777" w:rsidR="006435ED" w:rsidRPr="00AE2B70" w:rsidRDefault="006435ED" w:rsidP="006435ED">
      <w:pPr>
        <w:pStyle w:val="ListParagraph"/>
        <w:numPr>
          <w:ilvl w:val="0"/>
          <w:numId w:val="23"/>
        </w:numPr>
        <w:rPr>
          <w:rFonts w:asciiTheme="minorHAnsi" w:eastAsiaTheme="minorEastAsia" w:hAnsiTheme="minorHAnsi"/>
          <w:b/>
          <w:bCs/>
          <w:kern w:val="24"/>
        </w:rPr>
      </w:pPr>
      <w:r w:rsidRPr="00AE2B70">
        <w:rPr>
          <w:rFonts w:asciiTheme="minorHAnsi" w:eastAsiaTheme="minorEastAsia" w:hAnsiTheme="minorHAnsi" w:cstheme="minorBidi"/>
          <w:kern w:val="24"/>
        </w:rPr>
        <w:t>Selection of persons/households to be imputed</w:t>
      </w:r>
    </w:p>
    <w:p w14:paraId="2051206B" w14:textId="77777777" w:rsidR="006435ED" w:rsidRPr="00AE2B70" w:rsidRDefault="006435ED" w:rsidP="006435ED">
      <w:pPr>
        <w:pStyle w:val="ListParagraph"/>
        <w:rPr>
          <w:rFonts w:asciiTheme="minorHAnsi" w:eastAsiaTheme="minorEastAsia" w:hAnsiTheme="minorHAnsi"/>
          <w:kern w:val="24"/>
        </w:rPr>
      </w:pPr>
    </w:p>
    <w:p w14:paraId="63557B37" w14:textId="77777777" w:rsidR="006435ED" w:rsidRPr="00AE2B70" w:rsidRDefault="006435ED" w:rsidP="006435ED">
      <w:pPr>
        <w:spacing w:line="240" w:lineRule="auto"/>
        <w:rPr>
          <w:sz w:val="24"/>
          <w:szCs w:val="24"/>
        </w:rPr>
      </w:pPr>
      <w:r w:rsidRPr="00AE2B70">
        <w:rPr>
          <w:sz w:val="24"/>
          <w:szCs w:val="24"/>
        </w:rPr>
        <w:t>In stage 2 imputation of the remaining characteristic variables will be completed using CANCEIS methods and software.</w:t>
      </w:r>
    </w:p>
    <w:p w14:paraId="6164DEB8"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Combinatorial Optimisation (CO) method</w:t>
      </w:r>
    </w:p>
    <w:p w14:paraId="75C12EB4" w14:textId="77777777" w:rsidR="006435ED" w:rsidRPr="00AE2B70" w:rsidRDefault="006435ED" w:rsidP="006435ED">
      <w:pPr>
        <w:spacing w:line="240" w:lineRule="auto"/>
        <w:rPr>
          <w:sz w:val="24"/>
          <w:szCs w:val="24"/>
        </w:rPr>
      </w:pPr>
      <w:r w:rsidRPr="00AE2B70">
        <w:rPr>
          <w:sz w:val="24"/>
          <w:szCs w:val="24"/>
        </w:rPr>
        <w:t>CO is an integer programming method which involves finding the best combination (solution) from a finite set of combinations for a problem</w:t>
      </w:r>
      <w:r>
        <w:rPr>
          <w:sz w:val="24"/>
          <w:szCs w:val="24"/>
        </w:rPr>
        <w:t xml:space="preserve"> </w:t>
      </w:r>
      <w:r w:rsidRPr="00AE2B70">
        <w:rPr>
          <w:sz w:val="24"/>
          <w:szCs w:val="24"/>
        </w:rPr>
        <w:t>(</w:t>
      </w:r>
      <w:r w:rsidRPr="00AE2B70">
        <w:rPr>
          <w:bCs/>
          <w:sz w:val="24"/>
          <w:szCs w:val="24"/>
        </w:rPr>
        <w:t>Voas and Williamson</w:t>
      </w:r>
      <w:r>
        <w:rPr>
          <w:bCs/>
          <w:sz w:val="24"/>
          <w:szCs w:val="24"/>
        </w:rPr>
        <w:t>,</w:t>
      </w:r>
      <w:r w:rsidRPr="00AE2B70">
        <w:rPr>
          <w:bCs/>
          <w:sz w:val="24"/>
          <w:szCs w:val="24"/>
        </w:rPr>
        <w:t xml:space="preserve"> </w:t>
      </w:r>
      <w:r w:rsidRPr="00AE2B70">
        <w:rPr>
          <w:sz w:val="24"/>
          <w:szCs w:val="24"/>
        </w:rPr>
        <w:t>2000</w:t>
      </w:r>
      <w:r w:rsidRPr="00AE2B70">
        <w:rPr>
          <w:bCs/>
          <w:sz w:val="24"/>
          <w:szCs w:val="24"/>
        </w:rPr>
        <w:t>)</w:t>
      </w:r>
      <w:r w:rsidRPr="00AE2B70">
        <w:rPr>
          <w:sz w:val="24"/>
          <w:szCs w:val="24"/>
        </w:rPr>
        <w:t xml:space="preserve">. In the context of the </w:t>
      </w:r>
      <w:r>
        <w:rPr>
          <w:sz w:val="24"/>
          <w:szCs w:val="24"/>
        </w:rPr>
        <w:t xml:space="preserve">census coverage </w:t>
      </w:r>
      <w:r w:rsidRPr="00AE2B70">
        <w:rPr>
          <w:sz w:val="24"/>
          <w:szCs w:val="24"/>
        </w:rPr>
        <w:t xml:space="preserve">adjustment, CO involves the selection of a combination of households from the unadjusted </w:t>
      </w:r>
      <w:r>
        <w:rPr>
          <w:sz w:val="24"/>
          <w:szCs w:val="24"/>
        </w:rPr>
        <w:t>c</w:t>
      </w:r>
      <w:r w:rsidRPr="00AE2B70">
        <w:rPr>
          <w:sz w:val="24"/>
          <w:szCs w:val="24"/>
        </w:rPr>
        <w:t xml:space="preserve">ensus database that best fits the estimated benchmarks. In this context the benchmarks (or constraints) are totals of the individual and household variables in the local authorities/estimation areas from the coverage estimation process (i.e. of those who were missed from the census enumeration). </w:t>
      </w:r>
      <w:bookmarkStart w:id="0" w:name="_Hlk522634000"/>
      <w:r w:rsidRPr="00AE2B70">
        <w:rPr>
          <w:sz w:val="24"/>
          <w:szCs w:val="24"/>
        </w:rPr>
        <w:t>When running the CO process, the benchmarks are specified as the shortfall between the unadjusted census database count and the corresponding benchmark total</w:t>
      </w:r>
      <w:bookmarkEnd w:id="0"/>
      <w:r w:rsidRPr="00AE2B70">
        <w:rPr>
          <w:sz w:val="24"/>
          <w:szCs w:val="24"/>
        </w:rPr>
        <w:t>.</w:t>
      </w:r>
    </w:p>
    <w:p w14:paraId="0F29A4E2" w14:textId="77777777" w:rsidR="006435ED" w:rsidRPr="00AE2B70" w:rsidRDefault="006435ED" w:rsidP="006435ED">
      <w:pPr>
        <w:spacing w:line="240" w:lineRule="auto"/>
        <w:rPr>
          <w:sz w:val="24"/>
          <w:szCs w:val="24"/>
        </w:rPr>
      </w:pPr>
      <w:r w:rsidRPr="00AE2B70">
        <w:rPr>
          <w:sz w:val="24"/>
          <w:szCs w:val="24"/>
        </w:rPr>
        <w:t xml:space="preserve">The CO approach is essentially an integer re-weighting exercise where most of the households in the census database are assigned zero weights and positive integer weights are assigned to a combination of households which satisfies the required constraints (imputation totals) for both households and individuals. Therefore, this approach can be considered as an alternative method for imputing households (and individuals within the households) estimated to have been missed by the </w:t>
      </w:r>
      <w:r>
        <w:rPr>
          <w:sz w:val="24"/>
          <w:szCs w:val="24"/>
        </w:rPr>
        <w:t>c</w:t>
      </w:r>
      <w:r w:rsidRPr="00AE2B70">
        <w:rPr>
          <w:sz w:val="24"/>
          <w:szCs w:val="24"/>
        </w:rPr>
        <w:t>ensus (Oguz</w:t>
      </w:r>
      <w:r>
        <w:rPr>
          <w:sz w:val="24"/>
          <w:szCs w:val="24"/>
        </w:rPr>
        <w:t xml:space="preserve"> </w:t>
      </w:r>
      <w:r w:rsidRPr="00AE2B70">
        <w:rPr>
          <w:sz w:val="24"/>
          <w:szCs w:val="24"/>
        </w:rPr>
        <w:t>and Abbott,</w:t>
      </w:r>
      <w:r>
        <w:rPr>
          <w:sz w:val="24"/>
          <w:szCs w:val="24"/>
        </w:rPr>
        <w:t xml:space="preserve"> </w:t>
      </w:r>
      <w:r w:rsidRPr="00AE2B70">
        <w:rPr>
          <w:sz w:val="24"/>
          <w:szCs w:val="24"/>
        </w:rPr>
        <w:t>2016).</w:t>
      </w:r>
    </w:p>
    <w:p w14:paraId="4BA71E62" w14:textId="77777777" w:rsidR="006435ED" w:rsidRPr="00AE2B70" w:rsidRDefault="006435ED" w:rsidP="006435ED">
      <w:pPr>
        <w:pStyle w:val="ListParagraph"/>
        <w:numPr>
          <w:ilvl w:val="0"/>
          <w:numId w:val="17"/>
        </w:numPr>
        <w:rPr>
          <w:rFonts w:asciiTheme="minorHAnsi" w:hAnsiTheme="minorHAnsi"/>
          <w:b/>
        </w:rPr>
      </w:pPr>
      <w:r w:rsidRPr="00AE2B70">
        <w:rPr>
          <w:rFonts w:asciiTheme="minorHAnsi" w:hAnsiTheme="minorHAnsi"/>
          <w:b/>
        </w:rPr>
        <w:t xml:space="preserve">Research undertaken to data to implement CO methods </w:t>
      </w:r>
    </w:p>
    <w:p w14:paraId="65457CDA" w14:textId="77777777" w:rsidR="006435ED" w:rsidRPr="00AE2B70" w:rsidRDefault="006435ED" w:rsidP="006435ED">
      <w:pPr>
        <w:spacing w:after="0" w:line="240" w:lineRule="auto"/>
        <w:rPr>
          <w:sz w:val="24"/>
          <w:szCs w:val="24"/>
        </w:rPr>
      </w:pPr>
      <w:r>
        <w:rPr>
          <w:sz w:val="24"/>
          <w:szCs w:val="24"/>
        </w:rPr>
        <w:t>Oguz and Abbott (2015) describe the initial research</w:t>
      </w:r>
      <w:r w:rsidRPr="00AE2B70">
        <w:rPr>
          <w:sz w:val="24"/>
          <w:szCs w:val="24"/>
        </w:rPr>
        <w:t xml:space="preserve"> to implement the Combinatorial Optimisation method and compare results with those from the 2011 methods.  </w:t>
      </w:r>
      <w:r>
        <w:rPr>
          <w:sz w:val="24"/>
          <w:szCs w:val="24"/>
        </w:rPr>
        <w:t>T</w:t>
      </w:r>
      <w:r w:rsidRPr="00AE2B70">
        <w:rPr>
          <w:sz w:val="24"/>
          <w:szCs w:val="24"/>
        </w:rPr>
        <w:t xml:space="preserve">his focused on investigating how well the final adjusted </w:t>
      </w:r>
      <w:r>
        <w:rPr>
          <w:sz w:val="24"/>
          <w:szCs w:val="24"/>
        </w:rPr>
        <w:t>c</w:t>
      </w:r>
      <w:r w:rsidRPr="00AE2B70">
        <w:rPr>
          <w:sz w:val="24"/>
          <w:szCs w:val="24"/>
        </w:rPr>
        <w:t xml:space="preserve">ensus database reflects the estimated benchmark variables when using the different methods and compares the performance of the CO to the 2011 method.  </w:t>
      </w:r>
      <w:r>
        <w:rPr>
          <w:sz w:val="24"/>
          <w:szCs w:val="24"/>
        </w:rPr>
        <w:t>T</w:t>
      </w:r>
      <w:r w:rsidRPr="00AE2B70">
        <w:rPr>
          <w:sz w:val="24"/>
          <w:szCs w:val="24"/>
        </w:rPr>
        <w:t xml:space="preserve">he CO method was implemented to impute wholly missed households within the 2011 adjustment system for five Estimation Areas (so persons missed from counted households had already been imputed using the 2011 methods).  </w:t>
      </w:r>
    </w:p>
    <w:p w14:paraId="35D39C93" w14:textId="77777777" w:rsidR="006435ED" w:rsidRPr="00AE2B70" w:rsidRDefault="006435ED" w:rsidP="006435ED">
      <w:pPr>
        <w:spacing w:after="0" w:line="240" w:lineRule="auto"/>
        <w:rPr>
          <w:sz w:val="24"/>
          <w:szCs w:val="24"/>
        </w:rPr>
      </w:pPr>
    </w:p>
    <w:p w14:paraId="122A8407" w14:textId="77777777" w:rsidR="006435ED" w:rsidRPr="00AE2B70" w:rsidRDefault="006435ED" w:rsidP="006435ED">
      <w:pPr>
        <w:spacing w:after="0" w:line="240" w:lineRule="auto"/>
        <w:rPr>
          <w:sz w:val="24"/>
          <w:szCs w:val="24"/>
        </w:rPr>
      </w:pPr>
      <w:r w:rsidRPr="00AE2B70">
        <w:rPr>
          <w:sz w:val="24"/>
          <w:szCs w:val="24"/>
        </w:rPr>
        <w:t xml:space="preserve">The research showed that the CO approach produced better overall, and distributional fit than the 2011 method for most of the benchmarked variables. Using the </w:t>
      </w:r>
      <w:bookmarkStart w:id="1" w:name="_Hlk522020814"/>
      <w:r w:rsidRPr="00AE2B70">
        <w:rPr>
          <w:sz w:val="24"/>
          <w:szCs w:val="24"/>
        </w:rPr>
        <w:t>Total Absolute Error as a measure of performance for each category of a given variable (i.e. the sum of the absolute differences between the observed counts and the expected (benchmark) counts),</w:t>
      </w:r>
      <w:bookmarkEnd w:id="1"/>
      <w:r w:rsidRPr="00AE2B70">
        <w:rPr>
          <w:sz w:val="24"/>
          <w:szCs w:val="24"/>
        </w:rPr>
        <w:t xml:space="preserve"> it was found that running CO for the wholly missing households leads to an improvement in performance for most variables compared to the 2011 system in all five estimation areas. However, it performed less well for the household size variable in one of the estimation areas (Inner London). This may have reflected the small donor pool of the characteristics of this area. The values of benchmarked joint distribution of the variables were also evaluated and were found to be similar to the distributions of the 2011 adjustment system. </w:t>
      </w:r>
    </w:p>
    <w:p w14:paraId="0417C51B" w14:textId="77777777" w:rsidR="006435ED" w:rsidRPr="00AE2B70" w:rsidRDefault="006435ED" w:rsidP="006435ED">
      <w:pPr>
        <w:spacing w:after="0" w:line="240" w:lineRule="auto"/>
        <w:rPr>
          <w:sz w:val="24"/>
          <w:szCs w:val="24"/>
        </w:rPr>
      </w:pPr>
    </w:p>
    <w:p w14:paraId="1EF15801" w14:textId="77777777" w:rsidR="006435ED" w:rsidRPr="00AE2B70" w:rsidRDefault="006435ED" w:rsidP="006435ED">
      <w:pPr>
        <w:spacing w:after="0" w:line="240" w:lineRule="auto"/>
        <w:rPr>
          <w:sz w:val="24"/>
          <w:szCs w:val="24"/>
        </w:rPr>
      </w:pPr>
      <w:r w:rsidRPr="00AE2B70">
        <w:rPr>
          <w:sz w:val="24"/>
          <w:szCs w:val="24"/>
        </w:rPr>
        <w:t xml:space="preserve">The GSS </w:t>
      </w:r>
      <w:r>
        <w:rPr>
          <w:sz w:val="24"/>
          <w:szCs w:val="24"/>
        </w:rPr>
        <w:t>M</w:t>
      </w:r>
      <w:r w:rsidRPr="00AE2B70">
        <w:rPr>
          <w:sz w:val="24"/>
          <w:szCs w:val="24"/>
        </w:rPr>
        <w:t xml:space="preserve">ethodology Advisory Committee agreed that the results were encouraging and demonstrated the feasibility of this method for use in the adjustment system and recommended that the approach should be pursued. The CO method has a considerable performance advantage in terms of its simplicity and computational efficiency over the 2011 method. </w:t>
      </w:r>
    </w:p>
    <w:p w14:paraId="2BC9E4DF" w14:textId="77777777" w:rsidR="006435ED" w:rsidRPr="00AE2B70" w:rsidRDefault="006435ED" w:rsidP="006435ED">
      <w:pPr>
        <w:spacing w:after="0" w:line="240" w:lineRule="auto"/>
        <w:rPr>
          <w:sz w:val="24"/>
          <w:szCs w:val="24"/>
        </w:rPr>
      </w:pPr>
    </w:p>
    <w:p w14:paraId="7B5E15ED" w14:textId="77777777" w:rsidR="006435ED" w:rsidRPr="00AE2B70" w:rsidRDefault="006435ED" w:rsidP="006435ED">
      <w:pPr>
        <w:spacing w:after="0" w:line="240" w:lineRule="auto"/>
        <w:rPr>
          <w:sz w:val="24"/>
          <w:szCs w:val="24"/>
        </w:rPr>
      </w:pPr>
      <w:r w:rsidRPr="00AE2B70">
        <w:rPr>
          <w:sz w:val="24"/>
          <w:szCs w:val="24"/>
        </w:rPr>
        <w:t xml:space="preserve">Subsequent work </w:t>
      </w:r>
      <w:r>
        <w:rPr>
          <w:sz w:val="24"/>
          <w:szCs w:val="24"/>
        </w:rPr>
        <w:t xml:space="preserve">for this paper </w:t>
      </w:r>
      <w:r w:rsidRPr="00AE2B70">
        <w:rPr>
          <w:sz w:val="24"/>
          <w:szCs w:val="24"/>
        </w:rPr>
        <w:t xml:space="preserve">has investigated use of the CO method to impute missed households and persons within them (but without first imputing missed people to counted households using the 2011 system). Again, the investigation used the </w:t>
      </w:r>
      <w:r>
        <w:rPr>
          <w:sz w:val="24"/>
          <w:szCs w:val="24"/>
        </w:rPr>
        <w:t>Total Absolute Error (</w:t>
      </w:r>
      <w:r w:rsidRPr="00AE2B70">
        <w:rPr>
          <w:sz w:val="24"/>
          <w:szCs w:val="24"/>
        </w:rPr>
        <w:t>TAE</w:t>
      </w:r>
      <w:r>
        <w:rPr>
          <w:sz w:val="24"/>
          <w:szCs w:val="24"/>
        </w:rPr>
        <w:t>)</w:t>
      </w:r>
      <w:r w:rsidRPr="00AE2B70">
        <w:rPr>
          <w:sz w:val="24"/>
          <w:szCs w:val="24"/>
        </w:rPr>
        <w:t xml:space="preserve"> as a measure of performance for each category of a given variable, comparing the performance of CO within a two stage and three stage approach against the 2011 method.</w:t>
      </w:r>
    </w:p>
    <w:p w14:paraId="637C19E9" w14:textId="77777777" w:rsidR="006435ED" w:rsidRPr="00AE2B70" w:rsidRDefault="006435ED" w:rsidP="006435ED">
      <w:pPr>
        <w:spacing w:after="0" w:line="240" w:lineRule="auto"/>
        <w:rPr>
          <w:sz w:val="24"/>
          <w:szCs w:val="24"/>
        </w:rPr>
      </w:pPr>
    </w:p>
    <w:p w14:paraId="2AFAE061" w14:textId="77777777" w:rsidR="006435ED" w:rsidRPr="00AE2B70" w:rsidRDefault="006435ED" w:rsidP="006435ED">
      <w:pPr>
        <w:spacing w:after="0" w:line="240" w:lineRule="auto"/>
        <w:rPr>
          <w:sz w:val="24"/>
          <w:szCs w:val="24"/>
        </w:rPr>
      </w:pPr>
      <w:r w:rsidRPr="00AE2B70">
        <w:rPr>
          <w:sz w:val="24"/>
          <w:szCs w:val="24"/>
        </w:rPr>
        <w:t xml:space="preserve">Whilst running CO for the wholly missing households only (i.e. the first investigation) leads to an improvement in TAE for all variables compared to the 2011 system except for household size in inner London, running CO for the whole adjustment process leads to an improvement in TAE for all variables compared to the 2011 system in all five estimation areas. Within the two stage approach results showed the household size benchmark being perfectly or nearly perfectly met in all five estimation areas unlike the three-stage approach. An explanation for this could be that there are more one-person households (if missed persons are not imputed into counted households) and CO more easily finds the combinations required with smaller households than with larger households. However, in some estimation areas, the TAE is higher for the age sex by local authority variable when CO is run for the whole adjustment rather than for the missing households only (Table 1 below). The age sex by local authority variable is the most important variable (being the primary output) but has many categories so the difference in TAE is small (see </w:t>
      </w:r>
      <w:r>
        <w:rPr>
          <w:sz w:val="24"/>
          <w:szCs w:val="24"/>
        </w:rPr>
        <w:t>A</w:t>
      </w:r>
      <w:r w:rsidRPr="00AE2B70">
        <w:rPr>
          <w:sz w:val="24"/>
          <w:szCs w:val="24"/>
        </w:rPr>
        <w:t>ppendix 2 for the detailed results of all five estimation areas).</w:t>
      </w:r>
    </w:p>
    <w:p w14:paraId="757EAFD1" w14:textId="77777777" w:rsidR="006435ED" w:rsidRPr="00AE2B70" w:rsidRDefault="006435ED" w:rsidP="006435ED">
      <w:pPr>
        <w:spacing w:after="0" w:line="240" w:lineRule="auto"/>
        <w:rPr>
          <w:sz w:val="24"/>
          <w:szCs w:val="24"/>
        </w:rPr>
      </w:pPr>
    </w:p>
    <w:p w14:paraId="182BE92D" w14:textId="77777777" w:rsidR="006435ED" w:rsidRPr="00AE2B70" w:rsidRDefault="006435ED" w:rsidP="006435ED">
      <w:pPr>
        <w:rPr>
          <w:b/>
        </w:rPr>
      </w:pPr>
      <w:r w:rsidRPr="00AE2B70">
        <w:rPr>
          <w:b/>
        </w:rPr>
        <w:t>Table 1: East Midlands Estimation Area</w:t>
      </w:r>
    </w:p>
    <w:tbl>
      <w:tblPr>
        <w:tblStyle w:val="TableGrid"/>
        <w:tblW w:w="9351" w:type="dxa"/>
        <w:tblLook w:val="04A0" w:firstRow="1" w:lastRow="0" w:firstColumn="1" w:lastColumn="0" w:noHBand="0" w:noVBand="1"/>
      </w:tblPr>
      <w:tblGrid>
        <w:gridCol w:w="2276"/>
        <w:gridCol w:w="2246"/>
        <w:gridCol w:w="2561"/>
        <w:gridCol w:w="2268"/>
      </w:tblGrid>
      <w:tr w:rsidR="006435ED" w:rsidRPr="00AE2B70" w14:paraId="209CD216" w14:textId="77777777" w:rsidTr="00D308D9">
        <w:tc>
          <w:tcPr>
            <w:tcW w:w="2276" w:type="dxa"/>
            <w:vMerge w:val="restart"/>
            <w:vAlign w:val="center"/>
          </w:tcPr>
          <w:p w14:paraId="679D2DC0" w14:textId="77777777" w:rsidR="006435ED" w:rsidRPr="00AE2B70" w:rsidRDefault="006435ED" w:rsidP="00D308D9">
            <w:r w:rsidRPr="00AE2B70">
              <w:t>Variable (number of categories)</w:t>
            </w:r>
          </w:p>
        </w:tc>
        <w:tc>
          <w:tcPr>
            <w:tcW w:w="7075" w:type="dxa"/>
            <w:gridSpan w:val="3"/>
          </w:tcPr>
          <w:p w14:paraId="13F106C1" w14:textId="77777777" w:rsidR="006435ED" w:rsidRPr="00F618C8" w:rsidRDefault="006435ED" w:rsidP="00D308D9">
            <w:pPr>
              <w:jc w:val="center"/>
            </w:pPr>
            <w:r w:rsidRPr="00F618C8">
              <w:t>Total Absolute Error</w:t>
            </w:r>
          </w:p>
        </w:tc>
      </w:tr>
      <w:tr w:rsidR="006435ED" w:rsidRPr="00AE2B70" w14:paraId="411ADC2F" w14:textId="77777777" w:rsidTr="00D308D9">
        <w:tc>
          <w:tcPr>
            <w:tcW w:w="2276" w:type="dxa"/>
            <w:vMerge/>
          </w:tcPr>
          <w:p w14:paraId="3B3463C5" w14:textId="77777777" w:rsidR="006435ED" w:rsidRPr="00AE2B70" w:rsidRDefault="006435ED" w:rsidP="00D308D9"/>
        </w:tc>
        <w:tc>
          <w:tcPr>
            <w:tcW w:w="2246" w:type="dxa"/>
          </w:tcPr>
          <w:p w14:paraId="63E444DF" w14:textId="77777777" w:rsidR="006435ED" w:rsidRPr="00AE2B70" w:rsidRDefault="006435ED" w:rsidP="00D308D9">
            <w:r w:rsidRPr="00AE2B70">
              <w:t>CO for wholly missing households (average of 100 runs)</w:t>
            </w:r>
          </w:p>
        </w:tc>
        <w:tc>
          <w:tcPr>
            <w:tcW w:w="2561" w:type="dxa"/>
          </w:tcPr>
          <w:p w14:paraId="473303B7" w14:textId="77777777" w:rsidR="006435ED" w:rsidRPr="00AE2B70" w:rsidRDefault="006435ED" w:rsidP="00D308D9">
            <w:pPr>
              <w:rPr>
                <w:b/>
              </w:rPr>
            </w:pPr>
            <w:r w:rsidRPr="00AE2B70">
              <w:rPr>
                <w:b/>
              </w:rPr>
              <w:t>CO for whole adjustment process (average over 100 runs)</w:t>
            </w:r>
          </w:p>
        </w:tc>
        <w:tc>
          <w:tcPr>
            <w:tcW w:w="2268" w:type="dxa"/>
          </w:tcPr>
          <w:p w14:paraId="0B22621E" w14:textId="77777777" w:rsidR="006435ED" w:rsidRPr="00AE2B70" w:rsidRDefault="006435ED" w:rsidP="00D308D9">
            <w:r w:rsidRPr="00AE2B70">
              <w:t>2011 system</w:t>
            </w:r>
          </w:p>
        </w:tc>
      </w:tr>
      <w:tr w:rsidR="006435ED" w:rsidRPr="00AE2B70" w14:paraId="46CDAF02" w14:textId="77777777" w:rsidTr="00D308D9">
        <w:tc>
          <w:tcPr>
            <w:tcW w:w="2276" w:type="dxa"/>
          </w:tcPr>
          <w:p w14:paraId="3E7DD542" w14:textId="77777777" w:rsidR="006435ED" w:rsidRPr="00AE2B70" w:rsidRDefault="006435ED" w:rsidP="00D308D9">
            <w:r w:rsidRPr="00AE2B70">
              <w:t>Age-Sex Group by LA (245)</w:t>
            </w:r>
          </w:p>
        </w:tc>
        <w:tc>
          <w:tcPr>
            <w:tcW w:w="2246" w:type="dxa"/>
          </w:tcPr>
          <w:p w14:paraId="7C6B2B2D" w14:textId="77777777" w:rsidR="006435ED" w:rsidRPr="00AE2B70" w:rsidRDefault="006435ED" w:rsidP="00D308D9">
            <w:r w:rsidRPr="00AE2B70">
              <w:t>67</w:t>
            </w:r>
          </w:p>
        </w:tc>
        <w:tc>
          <w:tcPr>
            <w:tcW w:w="2561" w:type="dxa"/>
          </w:tcPr>
          <w:p w14:paraId="36645443" w14:textId="77777777" w:rsidR="006435ED" w:rsidRPr="00AE2B70" w:rsidRDefault="006435ED" w:rsidP="00D308D9">
            <w:pPr>
              <w:rPr>
                <w:b/>
              </w:rPr>
            </w:pPr>
            <w:r w:rsidRPr="00AE2B70">
              <w:rPr>
                <w:b/>
              </w:rPr>
              <w:t>118</w:t>
            </w:r>
          </w:p>
        </w:tc>
        <w:tc>
          <w:tcPr>
            <w:tcW w:w="2268" w:type="dxa"/>
          </w:tcPr>
          <w:p w14:paraId="42014C02" w14:textId="77777777" w:rsidR="006435ED" w:rsidRPr="00AE2B70" w:rsidRDefault="006435ED" w:rsidP="00D308D9">
            <w:r w:rsidRPr="00AE2B70">
              <w:t>652</w:t>
            </w:r>
          </w:p>
        </w:tc>
      </w:tr>
      <w:tr w:rsidR="006435ED" w:rsidRPr="00AE2B70" w14:paraId="44075AA9" w14:textId="77777777" w:rsidTr="00D308D9">
        <w:tc>
          <w:tcPr>
            <w:tcW w:w="2276" w:type="dxa"/>
          </w:tcPr>
          <w:p w14:paraId="5BBFC81A" w14:textId="77777777" w:rsidR="006435ED" w:rsidRPr="00AE2B70" w:rsidRDefault="006435ED" w:rsidP="00D308D9">
            <w:r w:rsidRPr="00AE2B70">
              <w:t>Ethnicity (3)</w:t>
            </w:r>
          </w:p>
        </w:tc>
        <w:tc>
          <w:tcPr>
            <w:tcW w:w="2246" w:type="dxa"/>
          </w:tcPr>
          <w:p w14:paraId="676C6842" w14:textId="77777777" w:rsidR="006435ED" w:rsidRPr="00AE2B70" w:rsidRDefault="006435ED" w:rsidP="00D308D9">
            <w:r w:rsidRPr="00AE2B70">
              <w:t>1</w:t>
            </w:r>
          </w:p>
        </w:tc>
        <w:tc>
          <w:tcPr>
            <w:tcW w:w="2561" w:type="dxa"/>
          </w:tcPr>
          <w:p w14:paraId="44E88B83" w14:textId="77777777" w:rsidR="006435ED" w:rsidRPr="00AE2B70" w:rsidRDefault="006435ED" w:rsidP="00D308D9">
            <w:pPr>
              <w:rPr>
                <w:b/>
              </w:rPr>
            </w:pPr>
            <w:r w:rsidRPr="00AE2B70">
              <w:rPr>
                <w:b/>
              </w:rPr>
              <w:t>1</w:t>
            </w:r>
          </w:p>
        </w:tc>
        <w:tc>
          <w:tcPr>
            <w:tcW w:w="2268" w:type="dxa"/>
          </w:tcPr>
          <w:p w14:paraId="283CEAC5" w14:textId="77777777" w:rsidR="006435ED" w:rsidRPr="00AE2B70" w:rsidRDefault="006435ED" w:rsidP="00D308D9">
            <w:r w:rsidRPr="00AE2B70">
              <w:t>5132</w:t>
            </w:r>
          </w:p>
        </w:tc>
      </w:tr>
      <w:tr w:rsidR="006435ED" w:rsidRPr="00AE2B70" w14:paraId="6C75FCC7" w14:textId="77777777" w:rsidTr="00D308D9">
        <w:tc>
          <w:tcPr>
            <w:tcW w:w="2276" w:type="dxa"/>
          </w:tcPr>
          <w:p w14:paraId="692DF017" w14:textId="77777777" w:rsidR="006435ED" w:rsidRPr="00AE2B70" w:rsidRDefault="006435ED" w:rsidP="00D308D9">
            <w:r w:rsidRPr="00AE2B70">
              <w:t>Activity Last Week (2)</w:t>
            </w:r>
          </w:p>
        </w:tc>
        <w:tc>
          <w:tcPr>
            <w:tcW w:w="2246" w:type="dxa"/>
          </w:tcPr>
          <w:p w14:paraId="2260955F" w14:textId="77777777" w:rsidR="006435ED" w:rsidRPr="00AE2B70" w:rsidRDefault="006435ED" w:rsidP="00D308D9">
            <w:r w:rsidRPr="00AE2B70">
              <w:t>1</w:t>
            </w:r>
          </w:p>
        </w:tc>
        <w:tc>
          <w:tcPr>
            <w:tcW w:w="2561" w:type="dxa"/>
          </w:tcPr>
          <w:p w14:paraId="6E4F3061" w14:textId="77777777" w:rsidR="006435ED" w:rsidRPr="00AE2B70" w:rsidRDefault="006435ED" w:rsidP="00D308D9">
            <w:pPr>
              <w:rPr>
                <w:b/>
              </w:rPr>
            </w:pPr>
            <w:r w:rsidRPr="00AE2B70">
              <w:rPr>
                <w:b/>
              </w:rPr>
              <w:t>1</w:t>
            </w:r>
          </w:p>
        </w:tc>
        <w:tc>
          <w:tcPr>
            <w:tcW w:w="2268" w:type="dxa"/>
          </w:tcPr>
          <w:p w14:paraId="6EFFF564" w14:textId="77777777" w:rsidR="006435ED" w:rsidRPr="00AE2B70" w:rsidRDefault="006435ED" w:rsidP="00D308D9">
            <w:r w:rsidRPr="00AE2B70">
              <w:t>1130</w:t>
            </w:r>
          </w:p>
        </w:tc>
      </w:tr>
      <w:tr w:rsidR="006435ED" w:rsidRPr="00AE2B70" w14:paraId="3936E342" w14:textId="77777777" w:rsidTr="00D308D9">
        <w:tc>
          <w:tcPr>
            <w:tcW w:w="2276" w:type="dxa"/>
          </w:tcPr>
          <w:p w14:paraId="056F5D73" w14:textId="77777777" w:rsidR="006435ED" w:rsidRPr="00AE2B70" w:rsidRDefault="006435ED" w:rsidP="00D308D9">
            <w:r w:rsidRPr="00AE2B70">
              <w:t>Household size (3)</w:t>
            </w:r>
          </w:p>
        </w:tc>
        <w:tc>
          <w:tcPr>
            <w:tcW w:w="2246" w:type="dxa"/>
          </w:tcPr>
          <w:p w14:paraId="1C60C1B2" w14:textId="77777777" w:rsidR="006435ED" w:rsidRPr="00AE2B70" w:rsidRDefault="006435ED" w:rsidP="00D308D9">
            <w:r w:rsidRPr="00AE2B70">
              <w:t>277</w:t>
            </w:r>
          </w:p>
        </w:tc>
        <w:tc>
          <w:tcPr>
            <w:tcW w:w="2561" w:type="dxa"/>
          </w:tcPr>
          <w:p w14:paraId="46F396FD" w14:textId="77777777" w:rsidR="006435ED" w:rsidRPr="00AE2B70" w:rsidRDefault="006435ED" w:rsidP="00D308D9">
            <w:pPr>
              <w:rPr>
                <w:b/>
              </w:rPr>
            </w:pPr>
            <w:r w:rsidRPr="00AE2B70">
              <w:rPr>
                <w:b/>
              </w:rPr>
              <w:t>1</w:t>
            </w:r>
          </w:p>
          <w:p w14:paraId="09F45323" w14:textId="77777777" w:rsidR="006435ED" w:rsidRPr="00AE2B70" w:rsidRDefault="006435ED" w:rsidP="00D308D9">
            <w:pPr>
              <w:rPr>
                <w:b/>
              </w:rPr>
            </w:pPr>
          </w:p>
        </w:tc>
        <w:tc>
          <w:tcPr>
            <w:tcW w:w="2268" w:type="dxa"/>
          </w:tcPr>
          <w:p w14:paraId="7D26166A" w14:textId="77777777" w:rsidR="006435ED" w:rsidRPr="00AE2B70" w:rsidRDefault="006435ED" w:rsidP="00D308D9">
            <w:r w:rsidRPr="00AE2B70">
              <w:t>1106</w:t>
            </w:r>
          </w:p>
        </w:tc>
      </w:tr>
      <w:tr w:rsidR="006435ED" w:rsidRPr="00AE2B70" w14:paraId="38195FD6" w14:textId="77777777" w:rsidTr="00D308D9">
        <w:tc>
          <w:tcPr>
            <w:tcW w:w="2276" w:type="dxa"/>
          </w:tcPr>
          <w:p w14:paraId="09B93378" w14:textId="77777777" w:rsidR="006435ED" w:rsidRPr="00AE2B70" w:rsidRDefault="006435ED" w:rsidP="00D308D9">
            <w:r w:rsidRPr="00AE2B70">
              <w:t>Hard to Count Index (2)</w:t>
            </w:r>
          </w:p>
        </w:tc>
        <w:tc>
          <w:tcPr>
            <w:tcW w:w="2246" w:type="dxa"/>
          </w:tcPr>
          <w:p w14:paraId="20F849ED" w14:textId="77777777" w:rsidR="006435ED" w:rsidRPr="00AE2B70" w:rsidRDefault="006435ED" w:rsidP="00D308D9">
            <w:r w:rsidRPr="00AE2B70">
              <w:t>0</w:t>
            </w:r>
          </w:p>
        </w:tc>
        <w:tc>
          <w:tcPr>
            <w:tcW w:w="2561" w:type="dxa"/>
          </w:tcPr>
          <w:p w14:paraId="7038DFF0" w14:textId="77777777" w:rsidR="006435ED" w:rsidRPr="00AE2B70" w:rsidRDefault="006435ED" w:rsidP="00D308D9">
            <w:pPr>
              <w:rPr>
                <w:b/>
              </w:rPr>
            </w:pPr>
            <w:r w:rsidRPr="00AE2B70">
              <w:rPr>
                <w:b/>
              </w:rPr>
              <w:t>0</w:t>
            </w:r>
          </w:p>
        </w:tc>
        <w:tc>
          <w:tcPr>
            <w:tcW w:w="2268" w:type="dxa"/>
          </w:tcPr>
          <w:p w14:paraId="50F3E808" w14:textId="77777777" w:rsidR="006435ED" w:rsidRPr="00AE2B70" w:rsidRDefault="006435ED" w:rsidP="00D308D9">
            <w:r w:rsidRPr="00AE2B70">
              <w:t>396</w:t>
            </w:r>
          </w:p>
        </w:tc>
      </w:tr>
    </w:tbl>
    <w:p w14:paraId="407E61EB" w14:textId="77777777" w:rsidR="006435ED" w:rsidRDefault="006435ED" w:rsidP="006435ED">
      <w:pPr>
        <w:spacing w:after="0" w:line="240" w:lineRule="auto"/>
        <w:rPr>
          <w:rFonts w:eastAsiaTheme="minorEastAsia"/>
          <w:kern w:val="24"/>
          <w:sz w:val="24"/>
          <w:szCs w:val="24"/>
        </w:rPr>
      </w:pPr>
    </w:p>
    <w:p w14:paraId="4B7F51A8" w14:textId="77777777" w:rsidR="006435ED" w:rsidRDefault="006435ED" w:rsidP="006435ED">
      <w:pPr>
        <w:spacing w:after="0" w:line="240" w:lineRule="auto"/>
        <w:rPr>
          <w:rFonts w:eastAsiaTheme="minorEastAsia"/>
          <w:kern w:val="24"/>
          <w:sz w:val="24"/>
          <w:szCs w:val="24"/>
        </w:rPr>
      </w:pPr>
    </w:p>
    <w:p w14:paraId="6E6C7956" w14:textId="77777777" w:rsidR="006435ED" w:rsidRDefault="006435ED" w:rsidP="006435ED">
      <w:pPr>
        <w:spacing w:after="0" w:line="240" w:lineRule="auto"/>
        <w:rPr>
          <w:rFonts w:eastAsiaTheme="minorEastAsia"/>
          <w:kern w:val="24"/>
          <w:sz w:val="24"/>
          <w:szCs w:val="24"/>
        </w:rPr>
      </w:pPr>
    </w:p>
    <w:p w14:paraId="5277DA3E" w14:textId="77777777" w:rsidR="006435ED" w:rsidRDefault="006435ED" w:rsidP="006435ED">
      <w:pPr>
        <w:spacing w:after="0" w:line="240" w:lineRule="auto"/>
        <w:rPr>
          <w:rFonts w:eastAsiaTheme="minorEastAsia"/>
          <w:kern w:val="24"/>
          <w:sz w:val="24"/>
          <w:szCs w:val="24"/>
        </w:rPr>
      </w:pPr>
      <w:r>
        <w:rPr>
          <w:rFonts w:eastAsiaTheme="minorEastAsia"/>
          <w:kern w:val="24"/>
          <w:sz w:val="24"/>
          <w:szCs w:val="24"/>
        </w:rPr>
        <w:lastRenderedPageBreak/>
        <w:t>For this initial work on the CO method the benchmark variables used were the same as those used in the 2011 Census methods in order to ensure fair comparison. However, in 2011 some variables had been collapsed to assist the calibration process. Work as therefore been undertaken to run the CO method for the same 5 estimation areas when the number of categories in the benchmark variables is increased. Again the methods are evaluated using the total Absolute Error (as compared to the benchmark values).</w:t>
      </w:r>
    </w:p>
    <w:p w14:paraId="5AFC5C0E" w14:textId="77777777" w:rsidR="006435ED" w:rsidRDefault="006435ED" w:rsidP="006435ED">
      <w:pPr>
        <w:spacing w:after="0" w:line="240" w:lineRule="auto"/>
        <w:rPr>
          <w:rFonts w:eastAsiaTheme="minorEastAsia"/>
          <w:kern w:val="24"/>
          <w:sz w:val="24"/>
          <w:szCs w:val="24"/>
        </w:rPr>
      </w:pPr>
    </w:p>
    <w:p w14:paraId="1E6475A1" w14:textId="77777777" w:rsidR="006435ED" w:rsidRPr="00AE2B70" w:rsidRDefault="006435ED" w:rsidP="006435ED">
      <w:pPr>
        <w:spacing w:after="0" w:line="240" w:lineRule="auto"/>
        <w:rPr>
          <w:rFonts w:eastAsiaTheme="minorEastAsia"/>
          <w:i/>
          <w:kern w:val="24"/>
          <w:sz w:val="24"/>
          <w:szCs w:val="24"/>
        </w:rPr>
      </w:pPr>
      <w:r w:rsidRPr="00AE2B70">
        <w:rPr>
          <w:rFonts w:eastAsiaTheme="minorEastAsia"/>
          <w:kern w:val="24"/>
          <w:sz w:val="24"/>
          <w:szCs w:val="24"/>
        </w:rPr>
        <w:t>The research to date has also investigated whether the Item imputation (to complete other un</w:t>
      </w:r>
      <w:r>
        <w:rPr>
          <w:rFonts w:eastAsiaTheme="minorEastAsia"/>
          <w:kern w:val="24"/>
          <w:sz w:val="24"/>
          <w:szCs w:val="24"/>
        </w:rPr>
        <w:t>-</w:t>
      </w:r>
      <w:r w:rsidRPr="00AE2B70">
        <w:rPr>
          <w:rFonts w:eastAsiaTheme="minorEastAsia"/>
          <w:kern w:val="24"/>
          <w:sz w:val="24"/>
          <w:szCs w:val="24"/>
        </w:rPr>
        <w:t>benchmarked characteristic variables of the imputed persons and households) at stage 2 in the 2021 strategy could be replaced with the CO methods (so the values of the selected donors would be retained rather than new values imputed).  However, the CANCEIS methods are designed to ensure that the values of the imputed variables reflect average empirical distributions and that unusual characteristics are not propagated within the processing to cause unrealistic distributions</w:t>
      </w:r>
      <w:r>
        <w:rPr>
          <w:rFonts w:eastAsiaTheme="minorEastAsia"/>
          <w:kern w:val="24"/>
          <w:sz w:val="24"/>
          <w:szCs w:val="24"/>
        </w:rPr>
        <w:t xml:space="preserve"> (ONS, 2011)</w:t>
      </w:r>
      <w:r w:rsidRPr="00AE2B70">
        <w:rPr>
          <w:rFonts w:eastAsiaTheme="minorEastAsia"/>
          <w:kern w:val="24"/>
          <w:sz w:val="24"/>
          <w:szCs w:val="24"/>
        </w:rPr>
        <w:t xml:space="preserve">. For example, the modularised nature of the imputation strategy in 2011 (i.e. variables split into demographics, culture, health and </w:t>
      </w:r>
      <w:r w:rsidRPr="00465974">
        <w:rPr>
          <w:rFonts w:eastAsiaTheme="minorEastAsia"/>
          <w:kern w:val="24"/>
          <w:sz w:val="24"/>
          <w:szCs w:val="24"/>
          <w:lang w:val="en-GB"/>
        </w:rPr>
        <w:t>labour</w:t>
      </w:r>
      <w:r w:rsidRPr="00AE2B70">
        <w:rPr>
          <w:rFonts w:eastAsiaTheme="minorEastAsia"/>
          <w:kern w:val="24"/>
          <w:sz w:val="24"/>
          <w:szCs w:val="24"/>
        </w:rPr>
        <w:t xml:space="preserve"> market), maximised potential donors at each stage and reduced the likelihood of all records with the same distribution of skeleton variables having exactly the same donor for all target variables (99% of observed records are unique across all variables).  CANCEIS also includes a mechanism for obtaining low level geographic consistency, specifically it favours records as donors that are nearest neighbors both in the terms of characteristics </w:t>
      </w:r>
      <w:r w:rsidRPr="00AE2B70">
        <w:rPr>
          <w:rFonts w:eastAsiaTheme="minorEastAsia"/>
          <w:i/>
          <w:iCs/>
          <w:kern w:val="24"/>
          <w:sz w:val="24"/>
          <w:szCs w:val="24"/>
        </w:rPr>
        <w:t>and</w:t>
      </w:r>
      <w:r w:rsidRPr="00AE2B70">
        <w:rPr>
          <w:rFonts w:eastAsiaTheme="minorEastAsia"/>
          <w:kern w:val="24"/>
          <w:sz w:val="24"/>
          <w:szCs w:val="24"/>
        </w:rPr>
        <w:t xml:space="preserve"> geographic location. It would introduce unnecessary risk to change this stage of the 2011 method unless further empirical research proves that the complexity of the CANCEIS methods is unnecessary for census adjustment in 2021</w:t>
      </w:r>
      <w:r w:rsidRPr="00AE2B70">
        <w:rPr>
          <w:rFonts w:eastAsiaTheme="minorEastAsia"/>
          <w:i/>
          <w:kern w:val="24"/>
          <w:sz w:val="24"/>
          <w:szCs w:val="24"/>
        </w:rPr>
        <w:t>.</w:t>
      </w:r>
    </w:p>
    <w:p w14:paraId="0F017496" w14:textId="77777777" w:rsidR="006435ED" w:rsidRPr="00AE2B70" w:rsidRDefault="006435ED" w:rsidP="006435ED">
      <w:pPr>
        <w:spacing w:after="0" w:line="240" w:lineRule="auto"/>
        <w:rPr>
          <w:rFonts w:eastAsiaTheme="minorEastAsia"/>
          <w:i/>
          <w:kern w:val="24"/>
          <w:sz w:val="24"/>
          <w:szCs w:val="24"/>
        </w:rPr>
      </w:pPr>
    </w:p>
    <w:p w14:paraId="45E262D4" w14:textId="77777777" w:rsidR="006435ED" w:rsidRPr="00AE2B70" w:rsidRDefault="006435ED" w:rsidP="006435ED">
      <w:pPr>
        <w:pStyle w:val="ListParagraph"/>
        <w:numPr>
          <w:ilvl w:val="0"/>
          <w:numId w:val="17"/>
        </w:numPr>
        <w:ind w:left="714" w:hanging="357"/>
        <w:rPr>
          <w:rFonts w:asciiTheme="minorHAnsi" w:hAnsiTheme="minorHAnsi"/>
          <w:b/>
        </w:rPr>
      </w:pPr>
      <w:r w:rsidRPr="00AE2B70">
        <w:rPr>
          <w:rFonts w:asciiTheme="minorHAnsi" w:hAnsiTheme="minorHAnsi"/>
          <w:b/>
        </w:rPr>
        <w:t xml:space="preserve">Next steps </w:t>
      </w:r>
    </w:p>
    <w:p w14:paraId="18F62BAC" w14:textId="77777777" w:rsidR="006435ED" w:rsidRPr="00AE2B70" w:rsidRDefault="006435ED" w:rsidP="006435ED">
      <w:pPr>
        <w:spacing w:after="0" w:line="240" w:lineRule="auto"/>
        <w:rPr>
          <w:sz w:val="24"/>
          <w:szCs w:val="24"/>
        </w:rPr>
      </w:pPr>
      <w:r w:rsidRPr="00AE2B70">
        <w:rPr>
          <w:sz w:val="24"/>
          <w:szCs w:val="24"/>
        </w:rPr>
        <w:t>The work to date has focused on comparing outputs using the CO methods with those using the 2011 methods, and initial testing of a two-stage approach. It has provided proof of concept; the CO method obtained an integer donor pool that better met the constraint</w:t>
      </w:r>
      <w:r>
        <w:rPr>
          <w:sz w:val="24"/>
          <w:szCs w:val="24"/>
        </w:rPr>
        <w:t>s for</w:t>
      </w:r>
      <w:r w:rsidRPr="00AE2B70">
        <w:rPr>
          <w:sz w:val="24"/>
          <w:szCs w:val="24"/>
        </w:rPr>
        <w:t xml:space="preserve"> characteristic variables. It </w:t>
      </w:r>
      <w:r>
        <w:rPr>
          <w:sz w:val="24"/>
          <w:szCs w:val="24"/>
        </w:rPr>
        <w:t xml:space="preserve">also </w:t>
      </w:r>
      <w:r w:rsidRPr="00AE2B70">
        <w:rPr>
          <w:sz w:val="24"/>
          <w:szCs w:val="24"/>
        </w:rPr>
        <w:t xml:space="preserve">has </w:t>
      </w:r>
      <w:r>
        <w:rPr>
          <w:sz w:val="24"/>
          <w:szCs w:val="24"/>
        </w:rPr>
        <w:t xml:space="preserve">shown </w:t>
      </w:r>
      <w:r w:rsidRPr="00AE2B70">
        <w:rPr>
          <w:sz w:val="24"/>
          <w:szCs w:val="24"/>
        </w:rPr>
        <w:t xml:space="preserve">potential in providing benefits in terms of efficiency and processing speed. </w:t>
      </w:r>
    </w:p>
    <w:p w14:paraId="36F611FE" w14:textId="77777777" w:rsidR="006435ED" w:rsidRPr="00AE2B70" w:rsidRDefault="006435ED" w:rsidP="006435ED">
      <w:pPr>
        <w:spacing w:after="0" w:line="240" w:lineRule="auto"/>
        <w:rPr>
          <w:sz w:val="24"/>
          <w:szCs w:val="24"/>
        </w:rPr>
      </w:pPr>
    </w:p>
    <w:p w14:paraId="191D1312" w14:textId="77777777" w:rsidR="006435ED" w:rsidRPr="00AE2B70" w:rsidRDefault="006435ED" w:rsidP="006435ED">
      <w:pPr>
        <w:spacing w:after="0" w:line="240" w:lineRule="auto"/>
        <w:rPr>
          <w:sz w:val="24"/>
          <w:szCs w:val="24"/>
        </w:rPr>
      </w:pPr>
      <w:r w:rsidRPr="00AE2B70">
        <w:rPr>
          <w:sz w:val="24"/>
          <w:szCs w:val="24"/>
        </w:rPr>
        <w:t>Further work will focus on three main components:</w:t>
      </w:r>
    </w:p>
    <w:p w14:paraId="0B714C32" w14:textId="77777777" w:rsidR="006435ED" w:rsidRPr="00AE2B70" w:rsidRDefault="006435ED" w:rsidP="006435ED">
      <w:pPr>
        <w:pStyle w:val="ListParagraph"/>
        <w:numPr>
          <w:ilvl w:val="0"/>
          <w:numId w:val="28"/>
        </w:numPr>
        <w:rPr>
          <w:rFonts w:asciiTheme="minorHAnsi" w:hAnsiTheme="minorHAnsi"/>
        </w:rPr>
      </w:pPr>
      <w:r w:rsidRPr="00AE2B70">
        <w:rPr>
          <w:rFonts w:asciiTheme="minorHAnsi" w:hAnsiTheme="minorHAnsi"/>
        </w:rPr>
        <w:t>Assessment of the properties of outputs achieved using the CO methods. A simulation study will be used to investigate:</w:t>
      </w:r>
    </w:p>
    <w:p w14:paraId="1484C58D"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color w:val="000000"/>
        </w:rPr>
        <w:t>The performance of the method as the number of constraints increases and how best to deploy the benchmarks</w:t>
      </w:r>
    </w:p>
    <w:p w14:paraId="449B6C38"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color w:val="000000"/>
        </w:rPr>
        <w:t xml:space="preserve">The limits of the method, i.e. </w:t>
      </w:r>
      <w:r>
        <w:rPr>
          <w:rFonts w:asciiTheme="minorHAnsi" w:hAnsiTheme="minorHAnsi"/>
          <w:color w:val="000000"/>
        </w:rPr>
        <w:t>for which census coverage patterns</w:t>
      </w:r>
      <w:r w:rsidRPr="00AE2B70">
        <w:rPr>
          <w:rFonts w:asciiTheme="minorHAnsi" w:hAnsiTheme="minorHAnsi"/>
          <w:color w:val="000000"/>
        </w:rPr>
        <w:t xml:space="preserve"> the CO does not produce globally optimal dataset</w:t>
      </w:r>
    </w:p>
    <w:p w14:paraId="19936A73"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color w:val="000000"/>
        </w:rPr>
        <w:t>The variability of estimated variables</w:t>
      </w:r>
      <w:r>
        <w:rPr>
          <w:rFonts w:asciiTheme="minorHAnsi" w:hAnsiTheme="minorHAnsi"/>
          <w:color w:val="000000"/>
        </w:rPr>
        <w:t>, including lower level geographical areas</w:t>
      </w:r>
    </w:p>
    <w:p w14:paraId="476789E8"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color w:val="000000"/>
        </w:rPr>
        <w:t>The processing times for running the adjustment by regions and with more constraints</w:t>
      </w:r>
    </w:p>
    <w:p w14:paraId="6A2251BC" w14:textId="77777777" w:rsidR="006435ED" w:rsidRPr="00AE2B70" w:rsidRDefault="006435ED" w:rsidP="006435ED">
      <w:pPr>
        <w:spacing w:after="0" w:line="240" w:lineRule="auto"/>
      </w:pPr>
    </w:p>
    <w:p w14:paraId="41A68BF0" w14:textId="77777777" w:rsidR="006435ED" w:rsidRPr="00AE2B70" w:rsidRDefault="006435ED" w:rsidP="006435ED">
      <w:pPr>
        <w:pStyle w:val="ListParagraph"/>
        <w:numPr>
          <w:ilvl w:val="0"/>
          <w:numId w:val="28"/>
        </w:numPr>
        <w:rPr>
          <w:rFonts w:asciiTheme="minorHAnsi" w:hAnsiTheme="minorHAnsi"/>
        </w:rPr>
      </w:pPr>
      <w:r w:rsidRPr="00AE2B70">
        <w:rPr>
          <w:rFonts w:asciiTheme="minorHAnsi" w:hAnsiTheme="minorHAnsi"/>
        </w:rPr>
        <w:t>Investigation of the wider implications of the new adjustment strategy, specifically ho</w:t>
      </w:r>
      <w:r w:rsidRPr="00AE2B70">
        <w:rPr>
          <w:rFonts w:asciiTheme="minorHAnsi" w:hAnsiTheme="minorHAnsi"/>
          <w:color w:val="000000"/>
        </w:rPr>
        <w:t>w it aligns with</w:t>
      </w:r>
      <w:r w:rsidRPr="00AE2B70">
        <w:rPr>
          <w:rFonts w:asciiTheme="minorHAnsi" w:hAnsiTheme="minorHAnsi"/>
        </w:rPr>
        <w:t xml:space="preserve">; </w:t>
      </w:r>
    </w:p>
    <w:p w14:paraId="2D534C95"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color w:val="000000"/>
        </w:rPr>
        <w:lastRenderedPageBreak/>
        <w:t xml:space="preserve">The higher-level coverage estimation strategy; </w:t>
      </w:r>
      <w:r w:rsidRPr="00AE2B70">
        <w:rPr>
          <w:rFonts w:asciiTheme="minorHAnsi" w:hAnsiTheme="minorHAnsi"/>
        </w:rPr>
        <w:t>defining requirements for coverage weights for the new census adjustment strategy</w:t>
      </w:r>
    </w:p>
    <w:p w14:paraId="6FADB429"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rPr>
        <w:t>The methods to place the donor households; whether the 2011 methods meet the requirements of the new 2021 adjustment strategy and whether any improvements can be made</w:t>
      </w:r>
    </w:p>
    <w:p w14:paraId="75E58665"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rPr>
        <w:t xml:space="preserve">The final item imputation; a short empirical assessment of the impact of using CANCEIS methods against retaining the values of the donor households imputed using the CO approach. </w:t>
      </w:r>
    </w:p>
    <w:p w14:paraId="0161DA7D" w14:textId="77777777" w:rsidR="006435ED" w:rsidRPr="008F772D" w:rsidRDefault="006435ED" w:rsidP="006435ED">
      <w:pPr>
        <w:pStyle w:val="ListParagraph"/>
        <w:numPr>
          <w:ilvl w:val="1"/>
          <w:numId w:val="28"/>
        </w:numPr>
        <w:rPr>
          <w:rFonts w:asciiTheme="minorHAnsi" w:hAnsiTheme="minorHAnsi"/>
        </w:rPr>
      </w:pPr>
      <w:r w:rsidRPr="008F772D">
        <w:rPr>
          <w:rFonts w:asciiTheme="minorHAnsi" w:hAnsiTheme="minorHAnsi"/>
        </w:rPr>
        <w:t xml:space="preserve">The methods to impute individuals missed from Communal Establishments (CEs). In 2011 the missed residents were imputed into CEs by selecting donors from the existing residents within the CEs. There was not a mechanism to impute whole CEs as it was assumed that the census would enumerate them accurately. </w:t>
      </w:r>
    </w:p>
    <w:p w14:paraId="2207A263" w14:textId="77777777" w:rsidR="006435ED" w:rsidRPr="00AE2B70" w:rsidRDefault="006435ED" w:rsidP="006435ED">
      <w:pPr>
        <w:pStyle w:val="ListParagraph"/>
        <w:rPr>
          <w:rFonts w:asciiTheme="minorHAnsi" w:hAnsiTheme="minorHAnsi"/>
        </w:rPr>
      </w:pPr>
    </w:p>
    <w:p w14:paraId="19ED738E" w14:textId="77777777" w:rsidR="006435ED" w:rsidRPr="000820C2" w:rsidRDefault="006435ED" w:rsidP="006435ED">
      <w:pPr>
        <w:pStyle w:val="ListParagraph"/>
        <w:numPr>
          <w:ilvl w:val="0"/>
          <w:numId w:val="28"/>
        </w:numPr>
        <w:rPr>
          <w:rFonts w:asciiTheme="minorHAnsi" w:hAnsiTheme="minorHAnsi"/>
        </w:rPr>
      </w:pPr>
      <w:r w:rsidRPr="000820C2">
        <w:rPr>
          <w:rFonts w:asciiTheme="minorHAnsi" w:hAnsiTheme="minorHAnsi"/>
        </w:rPr>
        <w:t>Measurement of the quality of the census database based on simulations, including;</w:t>
      </w:r>
    </w:p>
    <w:p w14:paraId="4576C76B" w14:textId="77777777" w:rsidR="006435ED" w:rsidRPr="000820C2" w:rsidRDefault="006435ED" w:rsidP="006435ED">
      <w:pPr>
        <w:pStyle w:val="NoSpacing"/>
        <w:numPr>
          <w:ilvl w:val="1"/>
          <w:numId w:val="28"/>
        </w:numPr>
        <w:jc w:val="left"/>
        <w:rPr>
          <w:sz w:val="24"/>
          <w:szCs w:val="24"/>
        </w:rPr>
      </w:pPr>
      <w:r w:rsidRPr="000820C2">
        <w:rPr>
          <w:sz w:val="24"/>
          <w:szCs w:val="24"/>
        </w:rPr>
        <w:t>The variability of estimated characteristics for (a) the key characteristics associated with nonresponse that are benchmarked and (b) the other characteristics imputed using CANCEIS.</w:t>
      </w:r>
    </w:p>
    <w:p w14:paraId="78CD383C" w14:textId="77777777" w:rsidR="006435ED" w:rsidRPr="000820C2" w:rsidRDefault="006435ED" w:rsidP="006435ED">
      <w:pPr>
        <w:pStyle w:val="NoSpacing"/>
        <w:numPr>
          <w:ilvl w:val="1"/>
          <w:numId w:val="28"/>
        </w:numPr>
        <w:jc w:val="left"/>
        <w:rPr>
          <w:sz w:val="24"/>
          <w:szCs w:val="24"/>
        </w:rPr>
      </w:pPr>
      <w:r w:rsidRPr="000820C2">
        <w:rPr>
          <w:sz w:val="24"/>
          <w:szCs w:val="24"/>
        </w:rPr>
        <w:t>The variability of estimates due to the adjustment procedure when different simulated censuses are taken (with a fixed true population). In the longer term this could be added with the variance estimation of whole estimation procedures to create measures of uncertainty.</w:t>
      </w:r>
    </w:p>
    <w:p w14:paraId="73F34E94" w14:textId="77777777" w:rsidR="006435ED" w:rsidRPr="00AE2B70" w:rsidRDefault="006435ED" w:rsidP="006435ED">
      <w:pPr>
        <w:pStyle w:val="ListParagraph"/>
        <w:rPr>
          <w:rFonts w:asciiTheme="minorHAnsi" w:hAnsiTheme="minorHAnsi"/>
        </w:rPr>
      </w:pPr>
    </w:p>
    <w:p w14:paraId="581A7C79" w14:textId="77777777" w:rsidR="006435ED" w:rsidRPr="00AE2B70" w:rsidRDefault="006435ED" w:rsidP="006435ED">
      <w:pPr>
        <w:pStyle w:val="ListParagraph"/>
        <w:numPr>
          <w:ilvl w:val="0"/>
          <w:numId w:val="28"/>
        </w:numPr>
        <w:rPr>
          <w:rFonts w:asciiTheme="minorHAnsi" w:hAnsiTheme="minorHAnsi"/>
        </w:rPr>
      </w:pPr>
      <w:r>
        <w:rPr>
          <w:rFonts w:asciiTheme="minorHAnsi" w:hAnsiTheme="minorHAnsi"/>
        </w:rPr>
        <w:t xml:space="preserve">Consideration of </w:t>
      </w:r>
      <w:r w:rsidRPr="00AE2B70">
        <w:rPr>
          <w:rFonts w:asciiTheme="minorHAnsi" w:hAnsiTheme="minorHAnsi"/>
        </w:rPr>
        <w:t xml:space="preserve">fall back options </w:t>
      </w:r>
    </w:p>
    <w:p w14:paraId="0B261FC7" w14:textId="77777777" w:rsidR="006435ED" w:rsidRPr="00AE2B70" w:rsidRDefault="006435ED" w:rsidP="006435ED">
      <w:pPr>
        <w:pStyle w:val="ListParagraph"/>
        <w:numPr>
          <w:ilvl w:val="1"/>
          <w:numId w:val="28"/>
        </w:numPr>
        <w:rPr>
          <w:rFonts w:asciiTheme="minorHAnsi" w:hAnsiTheme="minorHAnsi"/>
        </w:rPr>
      </w:pPr>
      <w:r w:rsidRPr="00AE2B70">
        <w:rPr>
          <w:rFonts w:asciiTheme="minorHAnsi" w:hAnsiTheme="minorHAnsi"/>
        </w:rPr>
        <w:t>The fall-back option if the CO method does not produce viable outputs will be to use the 2011 method</w:t>
      </w:r>
      <w:r>
        <w:rPr>
          <w:rFonts w:asciiTheme="minorHAnsi" w:hAnsiTheme="minorHAnsi"/>
        </w:rPr>
        <w:t>, although we assess this risk to be low based on the work to date</w:t>
      </w:r>
      <w:r w:rsidRPr="00AE2B70">
        <w:rPr>
          <w:rFonts w:asciiTheme="minorHAnsi" w:hAnsiTheme="minorHAnsi"/>
        </w:rPr>
        <w:t xml:space="preserve">. </w:t>
      </w:r>
      <w:r>
        <w:rPr>
          <w:rFonts w:asciiTheme="minorHAnsi" w:hAnsiTheme="minorHAnsi"/>
        </w:rPr>
        <w:t>However, should</w:t>
      </w:r>
      <w:r w:rsidRPr="00AE2B70">
        <w:rPr>
          <w:rFonts w:asciiTheme="minorHAnsi" w:hAnsiTheme="minorHAnsi"/>
        </w:rPr>
        <w:t xml:space="preserve"> this event </w:t>
      </w:r>
      <w:r>
        <w:rPr>
          <w:rFonts w:asciiTheme="minorHAnsi" w:hAnsiTheme="minorHAnsi"/>
        </w:rPr>
        <w:t xml:space="preserve">occur </w:t>
      </w:r>
      <w:r w:rsidRPr="00AE2B70">
        <w:rPr>
          <w:rFonts w:asciiTheme="minorHAnsi" w:hAnsiTheme="minorHAnsi"/>
        </w:rPr>
        <w:t xml:space="preserve">we will need to ensure the </w:t>
      </w:r>
      <w:r>
        <w:rPr>
          <w:rFonts w:asciiTheme="minorHAnsi" w:hAnsiTheme="minorHAnsi"/>
        </w:rPr>
        <w:t xml:space="preserve">2011 </w:t>
      </w:r>
      <w:r w:rsidRPr="00AE2B70">
        <w:rPr>
          <w:rFonts w:asciiTheme="minorHAnsi" w:hAnsiTheme="minorHAnsi"/>
        </w:rPr>
        <w:t xml:space="preserve">method </w:t>
      </w:r>
      <w:r>
        <w:rPr>
          <w:rFonts w:asciiTheme="minorHAnsi" w:hAnsiTheme="minorHAnsi"/>
        </w:rPr>
        <w:t>is</w:t>
      </w:r>
      <w:r w:rsidRPr="00AE2B70">
        <w:rPr>
          <w:rFonts w:asciiTheme="minorHAnsi" w:hAnsiTheme="minorHAnsi"/>
        </w:rPr>
        <w:t xml:space="preserve"> compatible with the new coverage estimation strategy and also to resolve the processing difficulties experience in 2011. </w:t>
      </w:r>
    </w:p>
    <w:p w14:paraId="509DC565" w14:textId="77777777" w:rsidR="006435ED" w:rsidRPr="00AE2B70" w:rsidRDefault="006435ED" w:rsidP="006435ED">
      <w:pPr>
        <w:pStyle w:val="ListParagraph"/>
        <w:numPr>
          <w:ilvl w:val="1"/>
          <w:numId w:val="28"/>
        </w:numPr>
        <w:rPr>
          <w:rFonts w:asciiTheme="minorHAnsi" w:hAnsiTheme="minorHAnsi"/>
          <w:b/>
        </w:rPr>
      </w:pPr>
      <w:r w:rsidRPr="00AE2B70">
        <w:rPr>
          <w:rFonts w:asciiTheme="minorHAnsi" w:hAnsiTheme="minorHAnsi"/>
        </w:rPr>
        <w:t xml:space="preserve">If the online census results in a higher proportion of missed people in counted households rather than from missed households then the two-stage approach may not be adequate.  As contingency we would need to </w:t>
      </w:r>
      <w:r>
        <w:rPr>
          <w:rFonts w:asciiTheme="minorHAnsi" w:hAnsiTheme="minorHAnsi"/>
        </w:rPr>
        <w:t>re-instate the</w:t>
      </w:r>
      <w:r w:rsidRPr="00AE2B70">
        <w:rPr>
          <w:rFonts w:asciiTheme="minorHAnsi" w:hAnsiTheme="minorHAnsi"/>
        </w:rPr>
        <w:t xml:space="preserve"> imput</w:t>
      </w:r>
      <w:r>
        <w:rPr>
          <w:rFonts w:asciiTheme="minorHAnsi" w:hAnsiTheme="minorHAnsi"/>
        </w:rPr>
        <w:t>ation of</w:t>
      </w:r>
      <w:r w:rsidRPr="00AE2B70">
        <w:rPr>
          <w:rFonts w:asciiTheme="minorHAnsi" w:hAnsiTheme="minorHAnsi"/>
        </w:rPr>
        <w:t xml:space="preserve"> persons from counted households</w:t>
      </w:r>
      <w:r>
        <w:rPr>
          <w:rFonts w:asciiTheme="minorHAnsi" w:hAnsiTheme="minorHAnsi"/>
        </w:rPr>
        <w:t xml:space="preserve"> in some form</w:t>
      </w:r>
      <w:r w:rsidRPr="00AE2B70">
        <w:rPr>
          <w:rFonts w:asciiTheme="minorHAnsi" w:hAnsiTheme="minorHAnsi"/>
        </w:rPr>
        <w:t xml:space="preserve">. </w:t>
      </w:r>
    </w:p>
    <w:p w14:paraId="4FAAA50F" w14:textId="77777777" w:rsidR="006435ED" w:rsidRPr="00AE2B70" w:rsidRDefault="006435ED" w:rsidP="006435ED">
      <w:pPr>
        <w:pStyle w:val="ListParagraph"/>
        <w:ind w:left="1440"/>
        <w:rPr>
          <w:rFonts w:asciiTheme="minorHAnsi" w:hAnsiTheme="minorHAnsi"/>
          <w:b/>
        </w:rPr>
      </w:pPr>
    </w:p>
    <w:p w14:paraId="608B0378" w14:textId="77777777" w:rsidR="006435ED" w:rsidRPr="00AE2B70" w:rsidRDefault="006435ED" w:rsidP="006435ED">
      <w:pPr>
        <w:pStyle w:val="ListParagraph"/>
        <w:ind w:left="1440"/>
        <w:rPr>
          <w:rFonts w:asciiTheme="minorHAnsi" w:hAnsiTheme="minorHAnsi"/>
          <w:b/>
        </w:rPr>
      </w:pPr>
    </w:p>
    <w:p w14:paraId="5010F653" w14:textId="77777777" w:rsidR="006435ED" w:rsidRPr="00AE2B70" w:rsidRDefault="006435ED" w:rsidP="006435ED">
      <w:pPr>
        <w:pStyle w:val="ListParagraph"/>
        <w:ind w:left="1440"/>
        <w:rPr>
          <w:rFonts w:asciiTheme="minorHAnsi" w:hAnsiTheme="minorHAnsi"/>
          <w:b/>
        </w:rPr>
      </w:pPr>
    </w:p>
    <w:p w14:paraId="35C69EED" w14:textId="77777777" w:rsidR="006435ED" w:rsidRPr="00AE2B70" w:rsidRDefault="006435ED" w:rsidP="006435ED">
      <w:pPr>
        <w:pStyle w:val="ListParagraph"/>
        <w:ind w:left="1440"/>
        <w:rPr>
          <w:rFonts w:asciiTheme="minorHAnsi" w:hAnsiTheme="minorHAnsi"/>
          <w:b/>
        </w:rPr>
      </w:pPr>
    </w:p>
    <w:p w14:paraId="1FCBBC99" w14:textId="77777777" w:rsidR="006435ED" w:rsidRPr="00AE2B70" w:rsidRDefault="006435ED" w:rsidP="006435ED">
      <w:pPr>
        <w:pStyle w:val="ListParagraph"/>
        <w:ind w:left="1440"/>
        <w:rPr>
          <w:rFonts w:asciiTheme="minorHAnsi" w:hAnsiTheme="minorHAnsi"/>
          <w:b/>
        </w:rPr>
      </w:pPr>
    </w:p>
    <w:p w14:paraId="660EEC88" w14:textId="77777777" w:rsidR="006435ED" w:rsidRPr="00AE2B70" w:rsidRDefault="006435ED" w:rsidP="006435ED">
      <w:pPr>
        <w:pStyle w:val="ListParagraph"/>
        <w:ind w:left="1440"/>
        <w:rPr>
          <w:rFonts w:asciiTheme="minorHAnsi" w:hAnsiTheme="minorHAnsi"/>
          <w:b/>
        </w:rPr>
      </w:pPr>
    </w:p>
    <w:p w14:paraId="65950B06" w14:textId="77777777" w:rsidR="006435ED" w:rsidRDefault="006435ED" w:rsidP="006435ED">
      <w:pPr>
        <w:pStyle w:val="ListParagraph"/>
        <w:ind w:left="1440"/>
        <w:rPr>
          <w:rFonts w:asciiTheme="minorHAnsi" w:hAnsiTheme="minorHAnsi"/>
          <w:b/>
        </w:rPr>
      </w:pPr>
    </w:p>
    <w:p w14:paraId="21D4DB6B" w14:textId="77777777" w:rsidR="006435ED" w:rsidRDefault="006435ED" w:rsidP="006435ED">
      <w:pPr>
        <w:pStyle w:val="ListParagraph"/>
        <w:ind w:left="1440"/>
        <w:rPr>
          <w:rFonts w:asciiTheme="minorHAnsi" w:hAnsiTheme="minorHAnsi"/>
          <w:b/>
        </w:rPr>
      </w:pPr>
    </w:p>
    <w:p w14:paraId="7DF26378" w14:textId="77777777" w:rsidR="006435ED" w:rsidRPr="00AE2B70" w:rsidRDefault="006435ED" w:rsidP="006435ED">
      <w:pPr>
        <w:pStyle w:val="ListParagraph"/>
        <w:ind w:left="1440"/>
        <w:rPr>
          <w:rFonts w:asciiTheme="minorHAnsi" w:hAnsiTheme="minorHAnsi"/>
          <w:b/>
        </w:rPr>
      </w:pPr>
    </w:p>
    <w:p w14:paraId="56DEFD5C" w14:textId="77777777" w:rsidR="006435ED" w:rsidRPr="00AE2B70" w:rsidRDefault="006435ED" w:rsidP="006435ED">
      <w:pPr>
        <w:pStyle w:val="ListParagraph"/>
        <w:ind w:left="1440"/>
        <w:rPr>
          <w:rFonts w:asciiTheme="minorHAnsi" w:hAnsiTheme="minorHAnsi"/>
          <w:b/>
        </w:rPr>
      </w:pPr>
    </w:p>
    <w:p w14:paraId="43AA9B8C" w14:textId="77777777" w:rsidR="006435ED" w:rsidRPr="00AE2B70" w:rsidRDefault="006435ED" w:rsidP="006435ED">
      <w:pPr>
        <w:pStyle w:val="ListParagraph"/>
        <w:ind w:left="1440"/>
        <w:rPr>
          <w:rFonts w:asciiTheme="minorHAnsi" w:hAnsiTheme="minorHAnsi"/>
          <w:b/>
        </w:rPr>
      </w:pPr>
    </w:p>
    <w:p w14:paraId="031E1DA2" w14:textId="77777777" w:rsidR="006435ED" w:rsidRPr="00AE2B70" w:rsidRDefault="006435ED" w:rsidP="006435ED">
      <w:pPr>
        <w:pStyle w:val="ListParagraph"/>
        <w:ind w:left="1440"/>
        <w:rPr>
          <w:rFonts w:asciiTheme="minorHAnsi" w:hAnsiTheme="minorHAnsi"/>
          <w:b/>
        </w:rPr>
      </w:pPr>
    </w:p>
    <w:p w14:paraId="3563862D" w14:textId="77777777" w:rsidR="006435ED" w:rsidRPr="00AE2B70" w:rsidRDefault="006435ED" w:rsidP="006435ED">
      <w:pPr>
        <w:spacing w:line="240" w:lineRule="auto"/>
        <w:rPr>
          <w:b/>
          <w:sz w:val="24"/>
          <w:szCs w:val="24"/>
        </w:rPr>
      </w:pPr>
      <w:r w:rsidRPr="00AE2B70">
        <w:rPr>
          <w:b/>
          <w:sz w:val="24"/>
          <w:szCs w:val="24"/>
        </w:rPr>
        <w:lastRenderedPageBreak/>
        <w:t>References:</w:t>
      </w:r>
    </w:p>
    <w:p w14:paraId="461F3A46" w14:textId="77777777" w:rsidR="006435ED" w:rsidRDefault="006435ED" w:rsidP="006435ED">
      <w:pPr>
        <w:spacing w:after="0" w:line="240" w:lineRule="auto"/>
        <w:rPr>
          <w:sz w:val="24"/>
          <w:szCs w:val="24"/>
        </w:rPr>
      </w:pPr>
      <w:r>
        <w:rPr>
          <w:sz w:val="24"/>
          <w:szCs w:val="24"/>
        </w:rPr>
        <w:t>Brown, J., Sexton, C., Taylor, A. and Abbott, O. (2011). Coverage Adjustment methodology for the 2011 Census.</w:t>
      </w:r>
    </w:p>
    <w:p w14:paraId="370B7CAD" w14:textId="77777777" w:rsidR="006435ED" w:rsidRPr="009425DD" w:rsidRDefault="006435ED" w:rsidP="006435ED">
      <w:pPr>
        <w:spacing w:after="0" w:line="240" w:lineRule="auto"/>
        <w:rPr>
          <w:color w:val="0070C0"/>
          <w:sz w:val="24"/>
          <w:szCs w:val="24"/>
        </w:rPr>
      </w:pPr>
      <w:hyperlink r:id="rId15" w:history="1">
        <w:r w:rsidRPr="009425DD">
          <w:rPr>
            <w:rStyle w:val="Hyperlink"/>
            <w:color w:val="0070C0"/>
            <w:sz w:val="24"/>
            <w:szCs w:val="24"/>
          </w:rPr>
          <w:t>https://www.ons.gov.uk/ons/guide-method/census/2011/the-2011-census/processing-the-information/statistical-methodology/coverage-adjustment-methodology-for-the-2011-census.pdf</w:t>
        </w:r>
      </w:hyperlink>
    </w:p>
    <w:p w14:paraId="4EBACC3E" w14:textId="77777777" w:rsidR="006435ED" w:rsidRDefault="006435ED" w:rsidP="006435ED">
      <w:pPr>
        <w:spacing w:after="0" w:line="240" w:lineRule="auto"/>
        <w:rPr>
          <w:sz w:val="24"/>
          <w:szCs w:val="24"/>
        </w:rPr>
      </w:pPr>
    </w:p>
    <w:p w14:paraId="6F3A46BB" w14:textId="77777777" w:rsidR="006435ED" w:rsidRPr="00AE2B70" w:rsidRDefault="006435ED" w:rsidP="006435ED">
      <w:pPr>
        <w:spacing w:after="0" w:line="240" w:lineRule="auto"/>
        <w:rPr>
          <w:sz w:val="24"/>
          <w:szCs w:val="24"/>
        </w:rPr>
      </w:pPr>
      <w:r w:rsidRPr="00AE2B70">
        <w:rPr>
          <w:sz w:val="24"/>
          <w:szCs w:val="24"/>
        </w:rPr>
        <w:t>Oguz, S and Abbott, O., (2016), “2021 Census Coverage Adjustment Methodology”, 31</w:t>
      </w:r>
      <w:r w:rsidRPr="00AE2B70">
        <w:rPr>
          <w:sz w:val="24"/>
          <w:szCs w:val="24"/>
          <w:vertAlign w:val="superscript"/>
        </w:rPr>
        <w:t>st</w:t>
      </w:r>
      <w:r w:rsidRPr="00AE2B70">
        <w:rPr>
          <w:sz w:val="24"/>
          <w:szCs w:val="24"/>
        </w:rPr>
        <w:t xml:space="preserve"> Meeting of the GSS Methodology Advisory Committee, ONS.</w:t>
      </w:r>
    </w:p>
    <w:p w14:paraId="29B85677" w14:textId="77777777" w:rsidR="006435ED" w:rsidRPr="00AE2B70" w:rsidRDefault="006435ED" w:rsidP="006435ED">
      <w:pPr>
        <w:spacing w:line="240" w:lineRule="auto"/>
        <w:rPr>
          <w:sz w:val="24"/>
          <w:szCs w:val="24"/>
        </w:rPr>
      </w:pPr>
      <w:hyperlink r:id="rId16" w:history="1">
        <w:r w:rsidRPr="00AE2B70">
          <w:rPr>
            <w:rStyle w:val="Hyperlink"/>
            <w:color w:val="0070C0"/>
            <w:sz w:val="24"/>
            <w:szCs w:val="24"/>
          </w:rPr>
          <w:t>https://gss.civilservice.gov.uk/wp-content/uploads/2013/03/GSS-MAC-31-Booklet_3.pdf</w:t>
        </w:r>
      </w:hyperlink>
    </w:p>
    <w:p w14:paraId="1FD9E7AD" w14:textId="77777777" w:rsidR="006435ED" w:rsidRDefault="006435ED" w:rsidP="006435ED">
      <w:pPr>
        <w:spacing w:after="0" w:line="240" w:lineRule="auto"/>
        <w:rPr>
          <w:sz w:val="24"/>
          <w:szCs w:val="24"/>
        </w:rPr>
      </w:pPr>
    </w:p>
    <w:p w14:paraId="0599A687" w14:textId="77777777" w:rsidR="006435ED" w:rsidRDefault="006435ED" w:rsidP="006435ED">
      <w:pPr>
        <w:spacing w:after="0" w:line="240" w:lineRule="auto"/>
        <w:rPr>
          <w:sz w:val="24"/>
          <w:szCs w:val="24"/>
        </w:rPr>
      </w:pPr>
      <w:r>
        <w:rPr>
          <w:sz w:val="24"/>
          <w:szCs w:val="24"/>
        </w:rPr>
        <w:t>ONS (2011), “Item Edit and Imputation Evaluation”, 2011 Census Review and Evaluation Report.</w:t>
      </w:r>
    </w:p>
    <w:p w14:paraId="729631E0" w14:textId="77777777" w:rsidR="006435ED" w:rsidRPr="009425DD" w:rsidRDefault="006435ED" w:rsidP="006435ED">
      <w:pPr>
        <w:spacing w:after="0" w:line="240" w:lineRule="auto"/>
        <w:rPr>
          <w:color w:val="0070C0"/>
          <w:sz w:val="24"/>
          <w:szCs w:val="24"/>
        </w:rPr>
      </w:pPr>
      <w:hyperlink r:id="rId17" w:history="1">
        <w:r w:rsidRPr="009425DD">
          <w:rPr>
            <w:rStyle w:val="Hyperlink"/>
            <w:color w:val="0070C0"/>
            <w:sz w:val="24"/>
            <w:szCs w:val="24"/>
          </w:rPr>
          <w:t>http://www.ons.gov.uk/ons/guide-method/census/2011/how-our-census-works/how-did-we-do-in-2011-/evaluation---item-edit-and-imputation.pdf</w:t>
        </w:r>
      </w:hyperlink>
    </w:p>
    <w:p w14:paraId="07045E5B" w14:textId="77777777" w:rsidR="006435ED" w:rsidRPr="00AE2B70" w:rsidRDefault="006435ED" w:rsidP="006435ED">
      <w:pPr>
        <w:spacing w:after="0" w:line="240" w:lineRule="auto"/>
        <w:rPr>
          <w:sz w:val="24"/>
          <w:szCs w:val="24"/>
        </w:rPr>
      </w:pPr>
    </w:p>
    <w:p w14:paraId="4DA485D3" w14:textId="77777777" w:rsidR="006435ED" w:rsidRPr="00A14BBE" w:rsidRDefault="006435ED" w:rsidP="006435ED">
      <w:pPr>
        <w:spacing w:after="0" w:line="240" w:lineRule="auto"/>
        <w:rPr>
          <w:sz w:val="24"/>
          <w:szCs w:val="24"/>
        </w:rPr>
      </w:pPr>
      <w:r w:rsidRPr="00A14BBE">
        <w:rPr>
          <w:sz w:val="24"/>
          <w:szCs w:val="24"/>
        </w:rPr>
        <w:t xml:space="preserve">ONS (2012), “2011 Census Item Edit and Imputation Process”, 2011 Census Methods and Quality Report. </w:t>
      </w:r>
    </w:p>
    <w:p w14:paraId="3BAED568" w14:textId="77777777" w:rsidR="006435ED" w:rsidRDefault="006435ED" w:rsidP="006435ED">
      <w:pPr>
        <w:spacing w:after="0" w:line="240" w:lineRule="auto"/>
        <w:rPr>
          <w:sz w:val="24"/>
          <w:szCs w:val="24"/>
        </w:rPr>
      </w:pPr>
      <w:hyperlink r:id="rId18" w:tooltip="Coverage Assessment and Adjustment" w:history="1">
        <w:r>
          <w:rPr>
            <w:color w:val="0070C0"/>
            <w:sz w:val="24"/>
            <w:szCs w:val="24"/>
            <w:u w:val="single"/>
            <w:shd w:val="clear" w:color="auto" w:fill="FFFFFF"/>
          </w:rPr>
          <w:t>http://www.ons.gov.uk/ons/guide-method/census/2011/census-data/2011-census-user-guide/quality-and-methods/methods/index.html</w:t>
        </w:r>
      </w:hyperlink>
    </w:p>
    <w:p w14:paraId="3D3DC3E2" w14:textId="77777777" w:rsidR="006435ED" w:rsidRDefault="006435ED" w:rsidP="006435ED">
      <w:pPr>
        <w:spacing w:after="0" w:line="240" w:lineRule="auto"/>
        <w:rPr>
          <w:sz w:val="24"/>
          <w:szCs w:val="24"/>
        </w:rPr>
      </w:pPr>
    </w:p>
    <w:p w14:paraId="05908B6C" w14:textId="77777777" w:rsidR="006435ED" w:rsidRPr="00AE2B70" w:rsidRDefault="006435ED" w:rsidP="006435ED">
      <w:pPr>
        <w:spacing w:after="0" w:line="240" w:lineRule="auto"/>
        <w:rPr>
          <w:sz w:val="24"/>
          <w:szCs w:val="24"/>
        </w:rPr>
      </w:pPr>
      <w:r w:rsidRPr="00AE2B70">
        <w:rPr>
          <w:sz w:val="24"/>
          <w:szCs w:val="24"/>
        </w:rPr>
        <w:t xml:space="preserve">ONS (2013), “2011 Census Assessment and Adjustment Evaluation”, 2011 Census Evaluation Report. </w:t>
      </w:r>
    </w:p>
    <w:p w14:paraId="15416B4E" w14:textId="77777777" w:rsidR="006435ED" w:rsidRPr="00AE2B70" w:rsidRDefault="006435ED" w:rsidP="006435ED">
      <w:pPr>
        <w:spacing w:after="400" w:line="240" w:lineRule="auto"/>
        <w:rPr>
          <w:sz w:val="24"/>
          <w:szCs w:val="24"/>
        </w:rPr>
      </w:pPr>
      <w:hyperlink r:id="rId19" w:tooltip="Coverage Assessment and Adjustment" w:history="1">
        <w:r w:rsidRPr="00AE2B70">
          <w:rPr>
            <w:color w:val="0070C0"/>
            <w:sz w:val="24"/>
            <w:szCs w:val="24"/>
            <w:u w:val="single"/>
            <w:shd w:val="clear" w:color="auto" w:fill="FFFFFF"/>
          </w:rPr>
          <w:t>http://www.ons.gov.uk/ons/guide-method/census/2011/how-our-census-works/how-did-we-do-in-2011-/evaluation---coverage-assessment-and-adjustment.pdf</w:t>
        </w:r>
      </w:hyperlink>
    </w:p>
    <w:p w14:paraId="09BE443D" w14:textId="77777777" w:rsidR="006435ED" w:rsidRPr="00AE2B70" w:rsidRDefault="006435ED" w:rsidP="006435ED">
      <w:pPr>
        <w:spacing w:after="0" w:line="240" w:lineRule="auto"/>
        <w:rPr>
          <w:sz w:val="24"/>
          <w:szCs w:val="24"/>
        </w:rPr>
      </w:pPr>
      <w:r w:rsidRPr="00AE2B70">
        <w:rPr>
          <w:sz w:val="24"/>
          <w:szCs w:val="24"/>
        </w:rPr>
        <w:t>Racinskij, V., (2018), “Coverage Estimation Strategy for the 2021 Census of England and Wales”, Internal paper.</w:t>
      </w:r>
    </w:p>
    <w:p w14:paraId="634C94C6" w14:textId="77777777" w:rsidR="006435ED" w:rsidRPr="00EE68B8" w:rsidRDefault="006435ED" w:rsidP="006435ED">
      <w:pPr>
        <w:spacing w:after="0" w:line="240" w:lineRule="auto"/>
      </w:pPr>
    </w:p>
    <w:p w14:paraId="0BF46E1D" w14:textId="77777777" w:rsidR="006435ED" w:rsidRPr="00EE68B8" w:rsidRDefault="006435ED" w:rsidP="006435ED">
      <w:pPr>
        <w:spacing w:after="0" w:line="240" w:lineRule="auto"/>
        <w:rPr>
          <w:sz w:val="24"/>
          <w:szCs w:val="24"/>
        </w:rPr>
      </w:pPr>
      <w:r w:rsidRPr="00EE68B8">
        <w:rPr>
          <w:sz w:val="24"/>
          <w:szCs w:val="24"/>
        </w:rPr>
        <w:t>Ross, H. and Abbott, O. (2015). “2021 Census Coverage Assessment and Adjustment strategy.”</w:t>
      </w:r>
    </w:p>
    <w:p w14:paraId="3B30FD84" w14:textId="77777777" w:rsidR="006435ED" w:rsidRPr="00EE68B8" w:rsidRDefault="006435ED" w:rsidP="006435ED">
      <w:pPr>
        <w:spacing w:after="0" w:line="240" w:lineRule="auto"/>
        <w:rPr>
          <w:sz w:val="24"/>
          <w:szCs w:val="24"/>
        </w:rPr>
      </w:pPr>
      <w:r w:rsidRPr="00EE68B8">
        <w:rPr>
          <w:sz w:val="24"/>
          <w:szCs w:val="24"/>
        </w:rPr>
        <w:t xml:space="preserve">Paper presented at the 30th GSS Methodology Advisory Committee, London, October 2015. Unpublished. Available on request. </w:t>
      </w:r>
    </w:p>
    <w:p w14:paraId="617A8685" w14:textId="77777777" w:rsidR="006435ED" w:rsidRPr="00EE68B8" w:rsidRDefault="006435ED" w:rsidP="006435ED">
      <w:pPr>
        <w:spacing w:after="0" w:line="240" w:lineRule="auto"/>
        <w:rPr>
          <w:sz w:val="24"/>
          <w:szCs w:val="24"/>
        </w:rPr>
      </w:pPr>
    </w:p>
    <w:p w14:paraId="348786CA" w14:textId="77777777" w:rsidR="006435ED" w:rsidRPr="00EE68B8" w:rsidRDefault="006435ED" w:rsidP="006435ED">
      <w:pPr>
        <w:spacing w:after="0" w:line="240" w:lineRule="auto"/>
        <w:rPr>
          <w:sz w:val="24"/>
          <w:szCs w:val="24"/>
        </w:rPr>
      </w:pPr>
      <w:r w:rsidRPr="00EE68B8">
        <w:rPr>
          <w:sz w:val="24"/>
          <w:szCs w:val="24"/>
        </w:rPr>
        <w:t>Steele F., Brown J. and Chambers R. (2002). “A controlled donor imputation system for a one number census”. Journal of the Royal Statistical Society: Series A (Statistics in Society) Volume 165, Issue 3, p 495–522.</w:t>
      </w:r>
    </w:p>
    <w:p w14:paraId="4E4AD17E" w14:textId="77777777" w:rsidR="006435ED" w:rsidRPr="00AE2B70" w:rsidRDefault="006435ED" w:rsidP="006435ED">
      <w:pPr>
        <w:spacing w:after="0" w:line="240" w:lineRule="auto"/>
        <w:rPr>
          <w:sz w:val="24"/>
          <w:szCs w:val="24"/>
        </w:rPr>
      </w:pPr>
    </w:p>
    <w:p w14:paraId="2753AE02" w14:textId="77777777" w:rsidR="006435ED" w:rsidRPr="00AE2B70" w:rsidRDefault="006435ED" w:rsidP="006435ED">
      <w:pPr>
        <w:autoSpaceDE w:val="0"/>
        <w:autoSpaceDN w:val="0"/>
        <w:adjustRightInd w:val="0"/>
        <w:spacing w:after="0" w:line="240" w:lineRule="auto"/>
        <w:rPr>
          <w:rFonts w:cs="AdvPalat-R"/>
          <w:sz w:val="24"/>
          <w:szCs w:val="24"/>
          <w:lang w:val="en-GB"/>
        </w:rPr>
      </w:pPr>
      <w:r w:rsidRPr="00AE2B70">
        <w:rPr>
          <w:bCs/>
          <w:sz w:val="24"/>
          <w:szCs w:val="24"/>
        </w:rPr>
        <w:t>Voas D. and Williamson P., (2000),</w:t>
      </w:r>
      <w:r w:rsidRPr="00AE2B70">
        <w:rPr>
          <w:sz w:val="24"/>
          <w:szCs w:val="24"/>
        </w:rPr>
        <w:t xml:space="preserve"> “</w:t>
      </w:r>
      <w:r w:rsidRPr="00AE2B70">
        <w:rPr>
          <w:rFonts w:cs="AdvPalat-R"/>
          <w:sz w:val="24"/>
          <w:szCs w:val="24"/>
          <w:lang w:val="en-GB"/>
        </w:rPr>
        <w:t>An Evaluation of the Combinatorial Optimisation</w:t>
      </w:r>
    </w:p>
    <w:p w14:paraId="50475765" w14:textId="77777777" w:rsidR="006435ED" w:rsidRPr="00AE2B70" w:rsidRDefault="006435ED" w:rsidP="006435ED">
      <w:pPr>
        <w:autoSpaceDE w:val="0"/>
        <w:autoSpaceDN w:val="0"/>
        <w:adjustRightInd w:val="0"/>
        <w:spacing w:after="0" w:line="240" w:lineRule="auto"/>
        <w:rPr>
          <w:sz w:val="24"/>
          <w:szCs w:val="24"/>
        </w:rPr>
      </w:pPr>
      <w:r w:rsidRPr="00AE2B70">
        <w:rPr>
          <w:rFonts w:cs="AdvPalat-R"/>
          <w:sz w:val="24"/>
          <w:szCs w:val="24"/>
          <w:lang w:val="en-GB"/>
        </w:rPr>
        <w:t>Approach to the Creation of Synthetic Microdata”.</w:t>
      </w:r>
      <w:r w:rsidRPr="00AE2B70">
        <w:rPr>
          <w:sz w:val="24"/>
          <w:szCs w:val="24"/>
        </w:rPr>
        <w:t xml:space="preserve"> </w:t>
      </w:r>
      <w:r w:rsidRPr="00AE2B70">
        <w:rPr>
          <w:rFonts w:cs="AdvPalat-R"/>
          <w:i/>
          <w:sz w:val="24"/>
          <w:szCs w:val="24"/>
          <w:lang w:val="en-GB"/>
        </w:rPr>
        <w:t>International Journal of Population Geography</w:t>
      </w:r>
      <w:r w:rsidRPr="00AE2B70">
        <w:rPr>
          <w:rFonts w:cs="AdvPalat-R"/>
          <w:sz w:val="24"/>
          <w:szCs w:val="24"/>
          <w:lang w:val="en-GB"/>
        </w:rPr>
        <w:t>, Vol. 6, pp. 349-366.</w:t>
      </w:r>
    </w:p>
    <w:p w14:paraId="5BF0A145" w14:textId="77777777" w:rsidR="006435ED" w:rsidRPr="00AE2B70" w:rsidRDefault="006435ED" w:rsidP="006435ED">
      <w:pPr>
        <w:spacing w:after="0" w:line="240" w:lineRule="auto"/>
        <w:rPr>
          <w:sz w:val="24"/>
          <w:szCs w:val="24"/>
        </w:rPr>
      </w:pPr>
    </w:p>
    <w:p w14:paraId="3967BD44" w14:textId="77777777" w:rsidR="006435ED" w:rsidRPr="00AE2B70" w:rsidRDefault="006435ED" w:rsidP="006435ED">
      <w:pPr>
        <w:spacing w:after="0" w:line="240" w:lineRule="auto"/>
        <w:rPr>
          <w:b/>
          <w:sz w:val="24"/>
          <w:szCs w:val="24"/>
        </w:rPr>
      </w:pPr>
      <w:r w:rsidRPr="00AE2B70">
        <w:rPr>
          <w:b/>
          <w:sz w:val="24"/>
          <w:szCs w:val="24"/>
        </w:rPr>
        <w:br w:type="page"/>
      </w:r>
    </w:p>
    <w:p w14:paraId="5BD4B471" w14:textId="77777777" w:rsidR="006435ED" w:rsidRPr="00AE2B70" w:rsidRDefault="006435ED" w:rsidP="006435ED">
      <w:pPr>
        <w:rPr>
          <w:b/>
          <w:sz w:val="24"/>
          <w:szCs w:val="24"/>
        </w:rPr>
      </w:pPr>
      <w:r w:rsidRPr="00AE2B70">
        <w:rPr>
          <w:b/>
          <w:sz w:val="24"/>
          <w:szCs w:val="24"/>
        </w:rPr>
        <w:lastRenderedPageBreak/>
        <w:t>Appendix 1</w:t>
      </w:r>
    </w:p>
    <w:p w14:paraId="0A1B2B9F" w14:textId="77777777" w:rsidR="006435ED" w:rsidRPr="00AE2B70" w:rsidRDefault="006435ED" w:rsidP="006435ED">
      <w:pPr>
        <w:rPr>
          <w:b/>
        </w:rPr>
      </w:pPr>
      <w:r w:rsidRPr="00AE2B70">
        <w:rPr>
          <w:b/>
        </w:rPr>
        <w:t>Variables used in the modelling, calibration, and skeleton records</w:t>
      </w:r>
    </w:p>
    <w:p w14:paraId="4F651AB3" w14:textId="77777777" w:rsidR="006435ED" w:rsidRPr="00AE2B70" w:rsidRDefault="006435ED" w:rsidP="006435ED">
      <w:pPr>
        <w:rPr>
          <w:b/>
        </w:rPr>
      </w:pPr>
      <w:r w:rsidRPr="00AE2B70">
        <w:rPr>
          <w:b/>
        </w:rPr>
        <w:t>Table 1: Model variables</w:t>
      </w:r>
    </w:p>
    <w:tbl>
      <w:tblPr>
        <w:tblStyle w:val="TableGrid"/>
        <w:tblW w:w="0" w:type="auto"/>
        <w:tblBorders>
          <w:insideH w:val="none" w:sz="0" w:space="0" w:color="auto"/>
          <w:insideV w:val="double" w:sz="4" w:space="0" w:color="auto"/>
        </w:tblBorders>
        <w:tblLook w:val="01E0" w:firstRow="1" w:lastRow="1" w:firstColumn="1" w:lastColumn="1" w:noHBand="0" w:noVBand="0"/>
      </w:tblPr>
      <w:tblGrid>
        <w:gridCol w:w="2937"/>
        <w:gridCol w:w="3890"/>
      </w:tblGrid>
      <w:tr w:rsidR="006435ED" w:rsidRPr="00AE2B70" w14:paraId="4D6563A4" w14:textId="77777777" w:rsidTr="00D308D9">
        <w:tc>
          <w:tcPr>
            <w:tcW w:w="0" w:type="auto"/>
            <w:tcBorders>
              <w:top w:val="single" w:sz="4" w:space="0" w:color="auto"/>
              <w:bottom w:val="double" w:sz="4" w:space="0" w:color="auto"/>
              <w:right w:val="double" w:sz="4" w:space="0" w:color="auto"/>
            </w:tcBorders>
          </w:tcPr>
          <w:p w14:paraId="74BE17BF" w14:textId="77777777" w:rsidR="006435ED" w:rsidRPr="00AE2B70" w:rsidRDefault="006435ED" w:rsidP="00D308D9">
            <w:pPr>
              <w:rPr>
                <w:b/>
              </w:rPr>
            </w:pPr>
            <w:r w:rsidRPr="00AE2B70">
              <w:rPr>
                <w:b/>
              </w:rPr>
              <w:t>Person</w:t>
            </w:r>
          </w:p>
        </w:tc>
        <w:tc>
          <w:tcPr>
            <w:tcW w:w="0" w:type="auto"/>
            <w:tcBorders>
              <w:top w:val="single" w:sz="4" w:space="0" w:color="auto"/>
              <w:left w:val="double" w:sz="4" w:space="0" w:color="auto"/>
              <w:bottom w:val="double" w:sz="4" w:space="0" w:color="auto"/>
            </w:tcBorders>
          </w:tcPr>
          <w:p w14:paraId="3BA1E89B" w14:textId="77777777" w:rsidR="006435ED" w:rsidRPr="00AE2B70" w:rsidRDefault="006435ED" w:rsidP="00D308D9">
            <w:pPr>
              <w:rPr>
                <w:b/>
              </w:rPr>
            </w:pPr>
            <w:r w:rsidRPr="00AE2B70">
              <w:rPr>
                <w:b/>
              </w:rPr>
              <w:t>Household</w:t>
            </w:r>
          </w:p>
        </w:tc>
      </w:tr>
      <w:tr w:rsidR="006435ED" w:rsidRPr="00AE2B70" w14:paraId="0E470C9F" w14:textId="77777777" w:rsidTr="00D308D9">
        <w:tc>
          <w:tcPr>
            <w:tcW w:w="0" w:type="auto"/>
            <w:tcBorders>
              <w:top w:val="double" w:sz="4" w:space="0" w:color="auto"/>
              <w:right w:val="double" w:sz="4" w:space="0" w:color="auto"/>
            </w:tcBorders>
          </w:tcPr>
          <w:p w14:paraId="45AC628B" w14:textId="77777777" w:rsidR="006435ED" w:rsidRPr="00AE2B70" w:rsidRDefault="006435ED" w:rsidP="00D308D9">
            <w:r w:rsidRPr="00AE2B70">
              <w:t>Age-sex group</w:t>
            </w:r>
          </w:p>
        </w:tc>
        <w:tc>
          <w:tcPr>
            <w:tcW w:w="0" w:type="auto"/>
            <w:tcBorders>
              <w:top w:val="double" w:sz="4" w:space="0" w:color="auto"/>
              <w:left w:val="double" w:sz="4" w:space="0" w:color="auto"/>
            </w:tcBorders>
          </w:tcPr>
          <w:p w14:paraId="014D51C8" w14:textId="77777777" w:rsidR="006435ED" w:rsidRPr="00AE2B70" w:rsidRDefault="006435ED" w:rsidP="00D308D9">
            <w:r w:rsidRPr="00AE2B70">
              <w:t>Tenure</w:t>
            </w:r>
          </w:p>
        </w:tc>
      </w:tr>
      <w:tr w:rsidR="006435ED" w:rsidRPr="00AE2B70" w14:paraId="532A3383" w14:textId="77777777" w:rsidTr="00D308D9">
        <w:tc>
          <w:tcPr>
            <w:tcW w:w="0" w:type="auto"/>
            <w:tcBorders>
              <w:right w:val="double" w:sz="4" w:space="0" w:color="auto"/>
            </w:tcBorders>
          </w:tcPr>
          <w:p w14:paraId="56BBF49F" w14:textId="77777777" w:rsidR="006435ED" w:rsidRPr="00AE2B70" w:rsidRDefault="006435ED" w:rsidP="00D308D9">
            <w:r w:rsidRPr="00AE2B70">
              <w:t>Hard to count index</w:t>
            </w:r>
          </w:p>
        </w:tc>
        <w:tc>
          <w:tcPr>
            <w:tcW w:w="0" w:type="auto"/>
            <w:tcBorders>
              <w:left w:val="double" w:sz="4" w:space="0" w:color="auto"/>
            </w:tcBorders>
          </w:tcPr>
          <w:p w14:paraId="03A45A55" w14:textId="77777777" w:rsidR="006435ED" w:rsidRPr="00AE2B70" w:rsidRDefault="006435ED" w:rsidP="00D308D9">
            <w:r w:rsidRPr="00AE2B70">
              <w:t>Household structure</w:t>
            </w:r>
          </w:p>
        </w:tc>
      </w:tr>
      <w:tr w:rsidR="006435ED" w:rsidRPr="00AE2B70" w14:paraId="691BBDCF" w14:textId="77777777" w:rsidTr="00D308D9">
        <w:tc>
          <w:tcPr>
            <w:tcW w:w="0" w:type="auto"/>
            <w:tcBorders>
              <w:right w:val="double" w:sz="4" w:space="0" w:color="auto"/>
            </w:tcBorders>
          </w:tcPr>
          <w:p w14:paraId="1507111E" w14:textId="77777777" w:rsidR="006435ED" w:rsidRPr="00AE2B70" w:rsidRDefault="006435ED" w:rsidP="00D308D9">
            <w:r w:rsidRPr="00AE2B70">
              <w:t>Tenure</w:t>
            </w:r>
          </w:p>
        </w:tc>
        <w:tc>
          <w:tcPr>
            <w:tcW w:w="0" w:type="auto"/>
            <w:tcBorders>
              <w:left w:val="double" w:sz="4" w:space="0" w:color="auto"/>
            </w:tcBorders>
          </w:tcPr>
          <w:p w14:paraId="4B286E49" w14:textId="77777777" w:rsidR="006435ED" w:rsidRPr="00AE2B70" w:rsidRDefault="006435ED" w:rsidP="00D308D9">
            <w:r w:rsidRPr="00AE2B70">
              <w:t>Household ethnicity (England and Wales)</w:t>
            </w:r>
          </w:p>
        </w:tc>
      </w:tr>
      <w:tr w:rsidR="006435ED" w:rsidRPr="00AE2B70" w14:paraId="7DB13680" w14:textId="77777777" w:rsidTr="00D308D9">
        <w:tc>
          <w:tcPr>
            <w:tcW w:w="0" w:type="auto"/>
            <w:tcBorders>
              <w:right w:val="double" w:sz="4" w:space="0" w:color="auto"/>
            </w:tcBorders>
          </w:tcPr>
          <w:p w14:paraId="684D9F7D" w14:textId="77777777" w:rsidR="006435ED" w:rsidRPr="00AE2B70" w:rsidRDefault="006435ED" w:rsidP="00D308D9">
            <w:r w:rsidRPr="00AE2B70">
              <w:t>Household structure</w:t>
            </w:r>
          </w:p>
        </w:tc>
        <w:tc>
          <w:tcPr>
            <w:tcW w:w="0" w:type="auto"/>
            <w:tcBorders>
              <w:left w:val="double" w:sz="4" w:space="0" w:color="auto"/>
            </w:tcBorders>
          </w:tcPr>
          <w:p w14:paraId="04EC70D4" w14:textId="77777777" w:rsidR="006435ED" w:rsidRPr="00AE2B70" w:rsidRDefault="006435ED" w:rsidP="00D308D9">
            <w:r w:rsidRPr="00AE2B70">
              <w:t>Household religion (Northern Ireland)</w:t>
            </w:r>
          </w:p>
        </w:tc>
      </w:tr>
      <w:tr w:rsidR="006435ED" w:rsidRPr="00AE2B70" w14:paraId="62E0EBD9" w14:textId="77777777" w:rsidTr="00D308D9">
        <w:tc>
          <w:tcPr>
            <w:tcW w:w="0" w:type="auto"/>
            <w:tcBorders>
              <w:right w:val="double" w:sz="4" w:space="0" w:color="auto"/>
            </w:tcBorders>
          </w:tcPr>
          <w:p w14:paraId="1284C344" w14:textId="77777777" w:rsidR="006435ED" w:rsidRPr="00AE2B70" w:rsidRDefault="006435ED" w:rsidP="00D308D9">
            <w:r w:rsidRPr="00AE2B70">
              <w:t>Local authority</w:t>
            </w:r>
          </w:p>
        </w:tc>
        <w:tc>
          <w:tcPr>
            <w:tcW w:w="0" w:type="auto"/>
            <w:tcBorders>
              <w:left w:val="double" w:sz="4" w:space="0" w:color="auto"/>
            </w:tcBorders>
          </w:tcPr>
          <w:p w14:paraId="0A43B770" w14:textId="77777777" w:rsidR="006435ED" w:rsidRPr="00AE2B70" w:rsidRDefault="006435ED" w:rsidP="00D308D9">
            <w:r w:rsidRPr="00AE2B70">
              <w:t>Hard to count index</w:t>
            </w:r>
          </w:p>
        </w:tc>
      </w:tr>
      <w:tr w:rsidR="006435ED" w:rsidRPr="00AE2B70" w14:paraId="434590CE" w14:textId="77777777" w:rsidTr="00D308D9">
        <w:tc>
          <w:tcPr>
            <w:tcW w:w="0" w:type="auto"/>
            <w:tcBorders>
              <w:right w:val="double" w:sz="4" w:space="0" w:color="auto"/>
            </w:tcBorders>
          </w:tcPr>
          <w:p w14:paraId="69C4CB75" w14:textId="77777777" w:rsidR="006435ED" w:rsidRPr="00AE2B70" w:rsidRDefault="006435ED" w:rsidP="00D308D9">
            <w:r w:rsidRPr="00AE2B70">
              <w:t>Activity last week (adults only)</w:t>
            </w:r>
          </w:p>
        </w:tc>
        <w:tc>
          <w:tcPr>
            <w:tcW w:w="0" w:type="auto"/>
            <w:tcBorders>
              <w:left w:val="double" w:sz="4" w:space="0" w:color="auto"/>
            </w:tcBorders>
          </w:tcPr>
          <w:p w14:paraId="3DBE295C" w14:textId="77777777" w:rsidR="006435ED" w:rsidRPr="00AE2B70" w:rsidRDefault="006435ED" w:rsidP="00D308D9">
            <w:r w:rsidRPr="00AE2B70">
              <w:t>Local authority</w:t>
            </w:r>
          </w:p>
        </w:tc>
      </w:tr>
      <w:tr w:rsidR="006435ED" w:rsidRPr="00AE2B70" w14:paraId="6431F406" w14:textId="77777777" w:rsidTr="00D308D9">
        <w:tc>
          <w:tcPr>
            <w:tcW w:w="0" w:type="auto"/>
            <w:tcBorders>
              <w:right w:val="double" w:sz="4" w:space="0" w:color="auto"/>
            </w:tcBorders>
          </w:tcPr>
          <w:p w14:paraId="5ED0F544" w14:textId="77777777" w:rsidR="006435ED" w:rsidRPr="00AE2B70" w:rsidRDefault="006435ED" w:rsidP="00D308D9">
            <w:r w:rsidRPr="00AE2B70">
              <w:t>Marital status (adults only)</w:t>
            </w:r>
          </w:p>
        </w:tc>
        <w:tc>
          <w:tcPr>
            <w:tcW w:w="0" w:type="auto"/>
            <w:tcBorders>
              <w:left w:val="double" w:sz="4" w:space="0" w:color="auto"/>
            </w:tcBorders>
          </w:tcPr>
          <w:p w14:paraId="115E2805" w14:textId="77777777" w:rsidR="006435ED" w:rsidRPr="00AE2B70" w:rsidRDefault="006435ED" w:rsidP="00D308D9">
            <w:r w:rsidRPr="00AE2B70">
              <w:t>Household born UK (England and Wales)</w:t>
            </w:r>
          </w:p>
        </w:tc>
      </w:tr>
      <w:tr w:rsidR="006435ED" w:rsidRPr="00AE2B70" w14:paraId="3A605866" w14:textId="77777777" w:rsidTr="00D308D9">
        <w:tc>
          <w:tcPr>
            <w:tcW w:w="0" w:type="auto"/>
            <w:tcBorders>
              <w:right w:val="double" w:sz="4" w:space="0" w:color="auto"/>
            </w:tcBorders>
          </w:tcPr>
          <w:p w14:paraId="6B6B6A76" w14:textId="77777777" w:rsidR="006435ED" w:rsidRPr="00AE2B70" w:rsidRDefault="006435ED" w:rsidP="00D308D9">
            <w:r w:rsidRPr="00AE2B70">
              <w:t xml:space="preserve">Ethnicity (England </w:t>
            </w:r>
            <w:r>
              <w:t>and</w:t>
            </w:r>
            <w:r w:rsidRPr="00AE2B70">
              <w:t xml:space="preserve"> Wales</w:t>
            </w:r>
            <w:r>
              <w:t>)</w:t>
            </w:r>
          </w:p>
        </w:tc>
        <w:tc>
          <w:tcPr>
            <w:tcW w:w="0" w:type="auto"/>
            <w:tcBorders>
              <w:left w:val="double" w:sz="4" w:space="0" w:color="auto"/>
            </w:tcBorders>
          </w:tcPr>
          <w:p w14:paraId="12E01A5F" w14:textId="77777777" w:rsidR="006435ED" w:rsidRPr="00AE2B70" w:rsidRDefault="006435ED" w:rsidP="00D308D9">
            <w:r w:rsidRPr="00AE2B70">
              <w:t>Household intention to stay</w:t>
            </w:r>
          </w:p>
        </w:tc>
      </w:tr>
      <w:tr w:rsidR="006435ED" w:rsidRPr="00AE2B70" w14:paraId="3FFBB396" w14:textId="77777777" w:rsidTr="00D308D9">
        <w:tc>
          <w:tcPr>
            <w:tcW w:w="0" w:type="auto"/>
            <w:tcBorders>
              <w:right w:val="double" w:sz="4" w:space="0" w:color="auto"/>
            </w:tcBorders>
          </w:tcPr>
          <w:p w14:paraId="1D2C0923" w14:textId="77777777" w:rsidR="006435ED" w:rsidRPr="00AE2B70" w:rsidRDefault="006435ED" w:rsidP="00D308D9">
            <w:r w:rsidRPr="00AE2B70">
              <w:t>Religion (Northern Ireland)</w:t>
            </w:r>
          </w:p>
        </w:tc>
        <w:tc>
          <w:tcPr>
            <w:tcW w:w="0" w:type="auto"/>
            <w:tcBorders>
              <w:left w:val="double" w:sz="4" w:space="0" w:color="auto"/>
            </w:tcBorders>
          </w:tcPr>
          <w:p w14:paraId="3D675384" w14:textId="77777777" w:rsidR="006435ED" w:rsidRPr="00AE2B70" w:rsidRDefault="006435ED" w:rsidP="00D308D9">
            <w:r w:rsidRPr="00AE2B70">
              <w:t>Household address y</w:t>
            </w:r>
            <w:r>
              <w:t>ea</w:t>
            </w:r>
            <w:r w:rsidRPr="00AE2B70">
              <w:t>r ago</w:t>
            </w:r>
          </w:p>
        </w:tc>
      </w:tr>
      <w:tr w:rsidR="006435ED" w:rsidRPr="00AE2B70" w14:paraId="28EB162F" w14:textId="77777777" w:rsidTr="00D308D9">
        <w:tc>
          <w:tcPr>
            <w:tcW w:w="0" w:type="auto"/>
            <w:tcBorders>
              <w:right w:val="double" w:sz="4" w:space="0" w:color="auto"/>
            </w:tcBorders>
          </w:tcPr>
          <w:p w14:paraId="36256A05" w14:textId="77777777" w:rsidR="006435ED" w:rsidRPr="00AE2B70" w:rsidRDefault="006435ED" w:rsidP="00D308D9">
            <w:r w:rsidRPr="00AE2B70">
              <w:t>Address y</w:t>
            </w:r>
            <w:r>
              <w:t>ea</w:t>
            </w:r>
            <w:r w:rsidRPr="00AE2B70">
              <w:t>r ago</w:t>
            </w:r>
          </w:p>
        </w:tc>
        <w:tc>
          <w:tcPr>
            <w:tcW w:w="0" w:type="auto"/>
            <w:tcBorders>
              <w:left w:val="double" w:sz="4" w:space="0" w:color="auto"/>
            </w:tcBorders>
          </w:tcPr>
          <w:p w14:paraId="54610434" w14:textId="77777777" w:rsidR="006435ED" w:rsidRPr="00AE2B70" w:rsidRDefault="006435ED" w:rsidP="00D308D9"/>
        </w:tc>
      </w:tr>
      <w:tr w:rsidR="006435ED" w:rsidRPr="00AE2B70" w14:paraId="0415285D" w14:textId="77777777" w:rsidTr="00D308D9">
        <w:tc>
          <w:tcPr>
            <w:tcW w:w="0" w:type="auto"/>
            <w:tcBorders>
              <w:right w:val="double" w:sz="4" w:space="0" w:color="auto"/>
            </w:tcBorders>
          </w:tcPr>
          <w:p w14:paraId="5DBED400" w14:textId="77777777" w:rsidR="006435ED" w:rsidRPr="00AE2B70" w:rsidRDefault="006435ED" w:rsidP="00D308D9">
            <w:r w:rsidRPr="00AE2B70">
              <w:t>Born UK (Eng</w:t>
            </w:r>
            <w:r>
              <w:t>land</w:t>
            </w:r>
            <w:r w:rsidRPr="00AE2B70">
              <w:t xml:space="preserve"> </w:t>
            </w:r>
            <w:r>
              <w:t>and</w:t>
            </w:r>
            <w:r w:rsidRPr="00AE2B70">
              <w:t xml:space="preserve"> Wales)</w:t>
            </w:r>
          </w:p>
        </w:tc>
        <w:tc>
          <w:tcPr>
            <w:tcW w:w="0" w:type="auto"/>
            <w:tcBorders>
              <w:left w:val="double" w:sz="4" w:space="0" w:color="auto"/>
            </w:tcBorders>
          </w:tcPr>
          <w:p w14:paraId="7CD7F66A" w14:textId="77777777" w:rsidR="006435ED" w:rsidRPr="00AE2B70" w:rsidRDefault="006435ED" w:rsidP="00D308D9"/>
        </w:tc>
      </w:tr>
      <w:tr w:rsidR="006435ED" w:rsidRPr="00AE2B70" w14:paraId="0FD2B10A" w14:textId="77777777" w:rsidTr="00D308D9">
        <w:tc>
          <w:tcPr>
            <w:tcW w:w="0" w:type="auto"/>
            <w:tcBorders>
              <w:right w:val="double" w:sz="4" w:space="0" w:color="auto"/>
            </w:tcBorders>
          </w:tcPr>
          <w:p w14:paraId="3ABA21F8" w14:textId="77777777" w:rsidR="006435ED" w:rsidRPr="00AE2B70" w:rsidRDefault="006435ED" w:rsidP="00D308D9">
            <w:r w:rsidRPr="00AE2B70">
              <w:t>Born NI (Northern Ireland)</w:t>
            </w:r>
          </w:p>
        </w:tc>
        <w:tc>
          <w:tcPr>
            <w:tcW w:w="0" w:type="auto"/>
            <w:tcBorders>
              <w:left w:val="double" w:sz="4" w:space="0" w:color="auto"/>
            </w:tcBorders>
          </w:tcPr>
          <w:p w14:paraId="11B60B0D" w14:textId="77777777" w:rsidR="006435ED" w:rsidRPr="00AE2B70" w:rsidRDefault="006435ED" w:rsidP="00D308D9"/>
        </w:tc>
      </w:tr>
    </w:tbl>
    <w:p w14:paraId="20DE92C5" w14:textId="77777777" w:rsidR="006435ED" w:rsidRPr="00AE2B70" w:rsidRDefault="006435ED" w:rsidP="006435ED">
      <w:pPr>
        <w:rPr>
          <w:b/>
        </w:rPr>
      </w:pPr>
    </w:p>
    <w:p w14:paraId="15B143A5" w14:textId="77777777" w:rsidR="006435ED" w:rsidRPr="00AE2B70" w:rsidRDefault="006435ED" w:rsidP="006435ED">
      <w:pPr>
        <w:rPr>
          <w:b/>
        </w:rPr>
      </w:pPr>
      <w:r w:rsidRPr="00AE2B70">
        <w:rPr>
          <w:b/>
        </w:rPr>
        <w:t>Table 2: Calibration variables</w:t>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112"/>
        <w:gridCol w:w="3389"/>
      </w:tblGrid>
      <w:tr w:rsidR="006435ED" w:rsidRPr="00AE2B70" w14:paraId="1F77A470" w14:textId="77777777" w:rsidTr="00D308D9">
        <w:tc>
          <w:tcPr>
            <w:tcW w:w="0" w:type="auto"/>
            <w:tcBorders>
              <w:top w:val="single" w:sz="4" w:space="0" w:color="auto"/>
              <w:bottom w:val="double" w:sz="4" w:space="0" w:color="auto"/>
              <w:right w:val="double" w:sz="4" w:space="0" w:color="auto"/>
            </w:tcBorders>
          </w:tcPr>
          <w:p w14:paraId="4C7CCDA2" w14:textId="77777777" w:rsidR="006435ED" w:rsidRPr="00AE2B70" w:rsidRDefault="006435ED" w:rsidP="00D308D9">
            <w:pPr>
              <w:rPr>
                <w:b/>
              </w:rPr>
            </w:pPr>
            <w:r w:rsidRPr="00AE2B70">
              <w:rPr>
                <w:b/>
              </w:rPr>
              <w:t xml:space="preserve">Person-level weights </w:t>
            </w:r>
          </w:p>
        </w:tc>
        <w:tc>
          <w:tcPr>
            <w:tcW w:w="0" w:type="auto"/>
            <w:tcBorders>
              <w:top w:val="single" w:sz="4" w:space="0" w:color="auto"/>
              <w:left w:val="double" w:sz="4" w:space="0" w:color="auto"/>
              <w:bottom w:val="double" w:sz="4" w:space="0" w:color="auto"/>
            </w:tcBorders>
          </w:tcPr>
          <w:p w14:paraId="6AE99EA2" w14:textId="77777777" w:rsidR="006435ED" w:rsidRPr="00AE2B70" w:rsidRDefault="006435ED" w:rsidP="00D308D9">
            <w:pPr>
              <w:rPr>
                <w:b/>
              </w:rPr>
            </w:pPr>
            <w:r w:rsidRPr="00AE2B70">
              <w:rPr>
                <w:b/>
              </w:rPr>
              <w:t>Household-level weights</w:t>
            </w:r>
          </w:p>
        </w:tc>
      </w:tr>
      <w:tr w:rsidR="006435ED" w:rsidRPr="00AE2B70" w14:paraId="41F8858E" w14:textId="77777777" w:rsidTr="00D308D9">
        <w:tc>
          <w:tcPr>
            <w:tcW w:w="0" w:type="auto"/>
            <w:tcBorders>
              <w:top w:val="double" w:sz="4" w:space="0" w:color="auto"/>
              <w:right w:val="double" w:sz="4" w:space="0" w:color="auto"/>
            </w:tcBorders>
          </w:tcPr>
          <w:p w14:paraId="4BEC32A1" w14:textId="77777777" w:rsidR="006435ED" w:rsidRPr="00AE2B70" w:rsidRDefault="006435ED" w:rsidP="00D308D9">
            <w:r w:rsidRPr="00AE2B70">
              <w:t>Age and sex</w:t>
            </w:r>
          </w:p>
        </w:tc>
        <w:tc>
          <w:tcPr>
            <w:tcW w:w="0" w:type="auto"/>
            <w:tcBorders>
              <w:top w:val="double" w:sz="4" w:space="0" w:color="auto"/>
              <w:left w:val="double" w:sz="4" w:space="0" w:color="auto"/>
            </w:tcBorders>
          </w:tcPr>
          <w:p w14:paraId="3F5F3171" w14:textId="77777777" w:rsidR="006435ED" w:rsidRPr="00AE2B70" w:rsidRDefault="006435ED" w:rsidP="00D308D9">
            <w:r w:rsidRPr="00AE2B70">
              <w:t>Household size</w:t>
            </w:r>
          </w:p>
        </w:tc>
      </w:tr>
      <w:tr w:rsidR="006435ED" w:rsidRPr="00AE2B70" w14:paraId="4111FCED" w14:textId="77777777" w:rsidTr="00D308D9">
        <w:tc>
          <w:tcPr>
            <w:tcW w:w="0" w:type="auto"/>
            <w:tcBorders>
              <w:right w:val="double" w:sz="4" w:space="0" w:color="auto"/>
            </w:tcBorders>
          </w:tcPr>
          <w:p w14:paraId="762879B1" w14:textId="77777777" w:rsidR="006435ED" w:rsidRPr="00AE2B70" w:rsidRDefault="006435ED" w:rsidP="00D308D9">
            <w:r w:rsidRPr="00AE2B70">
              <w:t>Hard to count index</w:t>
            </w:r>
          </w:p>
        </w:tc>
        <w:tc>
          <w:tcPr>
            <w:tcW w:w="0" w:type="auto"/>
            <w:tcBorders>
              <w:left w:val="double" w:sz="4" w:space="0" w:color="auto"/>
            </w:tcBorders>
          </w:tcPr>
          <w:p w14:paraId="09D164BB" w14:textId="77777777" w:rsidR="006435ED" w:rsidRPr="00AE2B70" w:rsidRDefault="006435ED" w:rsidP="00D308D9">
            <w:r w:rsidRPr="00AE2B70">
              <w:t>Individual activity within household</w:t>
            </w:r>
          </w:p>
        </w:tc>
      </w:tr>
      <w:tr w:rsidR="006435ED" w:rsidRPr="00AE2B70" w14:paraId="59F79A0B" w14:textId="77777777" w:rsidTr="00D308D9">
        <w:tc>
          <w:tcPr>
            <w:tcW w:w="0" w:type="auto"/>
            <w:tcBorders>
              <w:right w:val="double" w:sz="4" w:space="0" w:color="auto"/>
            </w:tcBorders>
          </w:tcPr>
          <w:p w14:paraId="6A20E344" w14:textId="77777777" w:rsidR="006435ED" w:rsidRPr="00AE2B70" w:rsidRDefault="006435ED" w:rsidP="00D308D9">
            <w:r w:rsidRPr="00AE2B70">
              <w:t>Activity last week</w:t>
            </w:r>
          </w:p>
        </w:tc>
        <w:tc>
          <w:tcPr>
            <w:tcW w:w="0" w:type="auto"/>
            <w:tcBorders>
              <w:left w:val="double" w:sz="4" w:space="0" w:color="auto"/>
            </w:tcBorders>
          </w:tcPr>
          <w:p w14:paraId="0ABB995F" w14:textId="77777777" w:rsidR="006435ED" w:rsidRPr="00AE2B70" w:rsidRDefault="006435ED" w:rsidP="00D308D9">
            <w:r w:rsidRPr="00AE2B70">
              <w:t>Hard to count index</w:t>
            </w:r>
          </w:p>
        </w:tc>
      </w:tr>
      <w:tr w:rsidR="006435ED" w:rsidRPr="00AE2B70" w14:paraId="0F338586" w14:textId="77777777" w:rsidTr="00D308D9">
        <w:tc>
          <w:tcPr>
            <w:tcW w:w="0" w:type="auto"/>
            <w:tcBorders>
              <w:right w:val="double" w:sz="4" w:space="0" w:color="auto"/>
            </w:tcBorders>
          </w:tcPr>
          <w:p w14:paraId="0ADD6B3F" w14:textId="77777777" w:rsidR="006435ED" w:rsidRPr="00AE2B70" w:rsidRDefault="006435ED" w:rsidP="00D308D9">
            <w:r w:rsidRPr="00AE2B70">
              <w:t>Tenure</w:t>
            </w:r>
          </w:p>
        </w:tc>
        <w:tc>
          <w:tcPr>
            <w:tcW w:w="0" w:type="auto"/>
            <w:tcBorders>
              <w:left w:val="double" w:sz="4" w:space="0" w:color="auto"/>
            </w:tcBorders>
          </w:tcPr>
          <w:p w14:paraId="6B67FBCB" w14:textId="77777777" w:rsidR="006435ED" w:rsidRPr="00AE2B70" w:rsidRDefault="006435ED" w:rsidP="00D308D9">
            <w:r w:rsidRPr="00AE2B70">
              <w:t>Ethnicity within household</w:t>
            </w:r>
          </w:p>
        </w:tc>
      </w:tr>
      <w:tr w:rsidR="006435ED" w:rsidRPr="00AE2B70" w14:paraId="4C8AEA3F" w14:textId="77777777" w:rsidTr="00D308D9">
        <w:tc>
          <w:tcPr>
            <w:tcW w:w="0" w:type="auto"/>
            <w:tcBorders>
              <w:right w:val="double" w:sz="4" w:space="0" w:color="auto"/>
            </w:tcBorders>
          </w:tcPr>
          <w:p w14:paraId="46961303" w14:textId="77777777" w:rsidR="006435ED" w:rsidRPr="00AE2B70" w:rsidRDefault="006435ED" w:rsidP="00D308D9">
            <w:r w:rsidRPr="00AE2B70">
              <w:t>Ethnicity</w:t>
            </w:r>
          </w:p>
        </w:tc>
        <w:tc>
          <w:tcPr>
            <w:tcW w:w="0" w:type="auto"/>
            <w:tcBorders>
              <w:left w:val="double" w:sz="4" w:space="0" w:color="auto"/>
            </w:tcBorders>
          </w:tcPr>
          <w:p w14:paraId="06642FD0" w14:textId="77777777" w:rsidR="006435ED" w:rsidRPr="00AE2B70" w:rsidRDefault="006435ED" w:rsidP="00D308D9">
            <w:r w:rsidRPr="00AE2B70">
              <w:t>Age-sex group within household</w:t>
            </w:r>
          </w:p>
        </w:tc>
      </w:tr>
      <w:tr w:rsidR="006435ED" w:rsidRPr="00AE2B70" w14:paraId="013930B6" w14:textId="77777777" w:rsidTr="00D308D9">
        <w:tc>
          <w:tcPr>
            <w:tcW w:w="0" w:type="auto"/>
            <w:tcBorders>
              <w:right w:val="double" w:sz="4" w:space="0" w:color="auto"/>
            </w:tcBorders>
          </w:tcPr>
          <w:p w14:paraId="084948C2" w14:textId="77777777" w:rsidR="006435ED" w:rsidRPr="00AE2B70" w:rsidRDefault="006435ED" w:rsidP="00D308D9"/>
        </w:tc>
        <w:tc>
          <w:tcPr>
            <w:tcW w:w="0" w:type="auto"/>
            <w:tcBorders>
              <w:left w:val="double" w:sz="4" w:space="0" w:color="auto"/>
              <w:bottom w:val="single" w:sz="4" w:space="0" w:color="auto"/>
            </w:tcBorders>
          </w:tcPr>
          <w:p w14:paraId="7E78F418" w14:textId="77777777" w:rsidR="006435ED" w:rsidRPr="00AE2B70" w:rsidRDefault="006435ED" w:rsidP="00D308D9">
            <w:r w:rsidRPr="00AE2B70">
              <w:t>Household tenure</w:t>
            </w:r>
          </w:p>
        </w:tc>
      </w:tr>
    </w:tbl>
    <w:p w14:paraId="0A0E707D" w14:textId="77777777" w:rsidR="006435ED" w:rsidRPr="00AE2B70" w:rsidRDefault="006435ED" w:rsidP="006435ED">
      <w:pPr>
        <w:rPr>
          <w:b/>
          <w:sz w:val="24"/>
          <w:szCs w:val="24"/>
        </w:rPr>
      </w:pPr>
    </w:p>
    <w:p w14:paraId="66FE31FE" w14:textId="77777777" w:rsidR="006435ED" w:rsidRPr="00AE2B70" w:rsidRDefault="006435ED" w:rsidP="006435ED">
      <w:pPr>
        <w:rPr>
          <w:b/>
          <w:sz w:val="24"/>
          <w:szCs w:val="24"/>
        </w:rPr>
      </w:pPr>
    </w:p>
    <w:p w14:paraId="40D0C6A9" w14:textId="77777777" w:rsidR="006435ED" w:rsidRPr="00AE2B70" w:rsidRDefault="006435ED" w:rsidP="006435ED">
      <w:pPr>
        <w:rPr>
          <w:b/>
          <w:sz w:val="24"/>
          <w:szCs w:val="24"/>
        </w:rPr>
      </w:pPr>
    </w:p>
    <w:p w14:paraId="24621A69" w14:textId="77777777" w:rsidR="006435ED" w:rsidRPr="00AE2B70" w:rsidRDefault="006435ED" w:rsidP="006435ED">
      <w:pPr>
        <w:rPr>
          <w:b/>
          <w:sz w:val="24"/>
          <w:szCs w:val="24"/>
        </w:rPr>
      </w:pPr>
    </w:p>
    <w:p w14:paraId="629BFFE4" w14:textId="77777777" w:rsidR="006435ED" w:rsidRPr="00AE2B70" w:rsidRDefault="006435ED" w:rsidP="006435ED">
      <w:pPr>
        <w:rPr>
          <w:b/>
          <w:sz w:val="24"/>
          <w:szCs w:val="24"/>
        </w:rPr>
      </w:pPr>
    </w:p>
    <w:p w14:paraId="15B4AE30" w14:textId="77777777" w:rsidR="006435ED" w:rsidRPr="00AE2B70" w:rsidRDefault="006435ED" w:rsidP="006435ED">
      <w:pPr>
        <w:rPr>
          <w:b/>
          <w:sz w:val="24"/>
          <w:szCs w:val="24"/>
        </w:rPr>
      </w:pPr>
    </w:p>
    <w:p w14:paraId="4F8B318A" w14:textId="77777777" w:rsidR="006435ED" w:rsidRPr="00AE2B70" w:rsidRDefault="006435ED" w:rsidP="006435ED">
      <w:pPr>
        <w:rPr>
          <w:b/>
          <w:sz w:val="24"/>
          <w:szCs w:val="24"/>
        </w:rPr>
      </w:pPr>
    </w:p>
    <w:p w14:paraId="29F86DA0" w14:textId="77777777" w:rsidR="006435ED" w:rsidRPr="00AE2B70" w:rsidRDefault="006435ED" w:rsidP="006435ED">
      <w:pPr>
        <w:rPr>
          <w:b/>
          <w:sz w:val="24"/>
          <w:szCs w:val="24"/>
        </w:rPr>
      </w:pPr>
    </w:p>
    <w:p w14:paraId="3A925B95" w14:textId="77777777" w:rsidR="006435ED" w:rsidRPr="00AE2B70" w:rsidRDefault="006435ED" w:rsidP="006435ED">
      <w:pPr>
        <w:rPr>
          <w:b/>
          <w:sz w:val="24"/>
          <w:szCs w:val="24"/>
        </w:rPr>
      </w:pPr>
    </w:p>
    <w:p w14:paraId="1BD02F69" w14:textId="77777777" w:rsidR="006435ED" w:rsidRPr="00AE2B70" w:rsidRDefault="006435ED" w:rsidP="006435ED">
      <w:pPr>
        <w:rPr>
          <w:b/>
        </w:rPr>
      </w:pPr>
      <w:r w:rsidRPr="00AE2B70">
        <w:rPr>
          <w:b/>
          <w:sz w:val="24"/>
          <w:szCs w:val="24"/>
        </w:rPr>
        <w:lastRenderedPageBreak/>
        <w:t>Appendix 2</w:t>
      </w:r>
      <w:r w:rsidRPr="00AE2B70">
        <w:rPr>
          <w:b/>
        </w:rPr>
        <w:t xml:space="preserve"> - Use of the Combinatorial Optimisation (CO) for the census adjustment process</w:t>
      </w:r>
    </w:p>
    <w:p w14:paraId="1CB77F2D" w14:textId="77777777" w:rsidR="006435ED" w:rsidRPr="00AE2B70" w:rsidRDefault="006435ED" w:rsidP="006435ED">
      <w:pPr>
        <w:rPr>
          <w:b/>
          <w:sz w:val="24"/>
          <w:szCs w:val="24"/>
        </w:rPr>
      </w:pPr>
    </w:p>
    <w:p w14:paraId="4696A562" w14:textId="77777777" w:rsidR="006435ED" w:rsidRPr="00AE2B70" w:rsidRDefault="006435ED" w:rsidP="006435ED">
      <w:pPr>
        <w:rPr>
          <w:b/>
        </w:rPr>
      </w:pPr>
      <w:r w:rsidRPr="00AE2B70">
        <w:rPr>
          <w:b/>
        </w:rPr>
        <w:t>Tables 1a – 1e showing the total absolute error in estimates obtained from 1) running the CO method for the whole census adjustment process, 2) running the</w:t>
      </w:r>
      <w:r w:rsidRPr="00AE2B70">
        <w:t xml:space="preserve"> </w:t>
      </w:r>
      <w:r w:rsidRPr="00AE2B70">
        <w:rPr>
          <w:b/>
        </w:rPr>
        <w:t xml:space="preserve">CO method for the missing households only (i.e. after missing persons have been imputed into counted households), and 3) the 2011 system. </w:t>
      </w:r>
    </w:p>
    <w:p w14:paraId="1C5377BF" w14:textId="77777777" w:rsidR="006435ED" w:rsidRPr="00AE2B70" w:rsidRDefault="006435ED" w:rsidP="006435ED">
      <w:pPr>
        <w:rPr>
          <w:b/>
        </w:rPr>
      </w:pPr>
      <w:r w:rsidRPr="00AE2B70">
        <w:rPr>
          <w:b/>
        </w:rPr>
        <w:t>Table 1a: East Midlands Estimation Area</w:t>
      </w:r>
    </w:p>
    <w:tbl>
      <w:tblPr>
        <w:tblStyle w:val="TableGrid"/>
        <w:tblW w:w="0" w:type="auto"/>
        <w:tblLook w:val="04A0" w:firstRow="1" w:lastRow="0" w:firstColumn="1" w:lastColumn="0" w:noHBand="0" w:noVBand="1"/>
      </w:tblPr>
      <w:tblGrid>
        <w:gridCol w:w="2276"/>
        <w:gridCol w:w="2246"/>
        <w:gridCol w:w="2419"/>
        <w:gridCol w:w="2075"/>
      </w:tblGrid>
      <w:tr w:rsidR="006435ED" w:rsidRPr="00AE2B70" w14:paraId="5BDEA082" w14:textId="77777777" w:rsidTr="00D308D9">
        <w:tc>
          <w:tcPr>
            <w:tcW w:w="2276" w:type="dxa"/>
            <w:vMerge w:val="restart"/>
            <w:vAlign w:val="center"/>
          </w:tcPr>
          <w:p w14:paraId="49259761" w14:textId="77777777" w:rsidR="006435ED" w:rsidRPr="00AE2B70" w:rsidRDefault="006435ED" w:rsidP="00D308D9">
            <w:bookmarkStart w:id="2" w:name="_Hlk519595113"/>
            <w:r w:rsidRPr="00AE2B70">
              <w:t>Variable (number of categories)</w:t>
            </w:r>
          </w:p>
        </w:tc>
        <w:tc>
          <w:tcPr>
            <w:tcW w:w="6740" w:type="dxa"/>
            <w:gridSpan w:val="3"/>
          </w:tcPr>
          <w:p w14:paraId="422D3888" w14:textId="77777777" w:rsidR="006435ED" w:rsidRPr="00AE2B70" w:rsidRDefault="006435ED" w:rsidP="00D308D9">
            <w:pPr>
              <w:jc w:val="center"/>
            </w:pPr>
            <w:r w:rsidRPr="00AE2B70">
              <w:t>TAE</w:t>
            </w:r>
          </w:p>
        </w:tc>
      </w:tr>
      <w:tr w:rsidR="006435ED" w:rsidRPr="00AE2B70" w14:paraId="0112CCC6" w14:textId="77777777" w:rsidTr="00D308D9">
        <w:tc>
          <w:tcPr>
            <w:tcW w:w="2276" w:type="dxa"/>
            <w:vMerge/>
          </w:tcPr>
          <w:p w14:paraId="06C072AC" w14:textId="77777777" w:rsidR="006435ED" w:rsidRPr="00AE2B70" w:rsidRDefault="006435ED" w:rsidP="00D308D9"/>
        </w:tc>
        <w:tc>
          <w:tcPr>
            <w:tcW w:w="2246" w:type="dxa"/>
          </w:tcPr>
          <w:p w14:paraId="1FFBE2FD" w14:textId="77777777" w:rsidR="006435ED" w:rsidRPr="00AE2B70" w:rsidRDefault="006435ED" w:rsidP="00D308D9">
            <w:r w:rsidRPr="00AE2B70">
              <w:t>CO for wholly missing households (average of 100 runs)</w:t>
            </w:r>
          </w:p>
        </w:tc>
        <w:tc>
          <w:tcPr>
            <w:tcW w:w="2419" w:type="dxa"/>
          </w:tcPr>
          <w:p w14:paraId="1D3FC7B9" w14:textId="77777777" w:rsidR="006435ED" w:rsidRPr="00AE2B70" w:rsidRDefault="006435ED" w:rsidP="00D308D9">
            <w:pPr>
              <w:rPr>
                <w:b/>
              </w:rPr>
            </w:pPr>
            <w:r w:rsidRPr="00AE2B70">
              <w:rPr>
                <w:b/>
              </w:rPr>
              <w:t>CO for whole adjustment process (average over 100 runs)</w:t>
            </w:r>
          </w:p>
        </w:tc>
        <w:tc>
          <w:tcPr>
            <w:tcW w:w="2075" w:type="dxa"/>
          </w:tcPr>
          <w:p w14:paraId="32DDC672" w14:textId="77777777" w:rsidR="006435ED" w:rsidRPr="00AE2B70" w:rsidRDefault="006435ED" w:rsidP="00D308D9">
            <w:r w:rsidRPr="00AE2B70">
              <w:t>2011 system</w:t>
            </w:r>
          </w:p>
        </w:tc>
      </w:tr>
      <w:tr w:rsidR="006435ED" w:rsidRPr="00AE2B70" w14:paraId="49B05009" w14:textId="77777777" w:rsidTr="00D308D9">
        <w:tc>
          <w:tcPr>
            <w:tcW w:w="2276" w:type="dxa"/>
          </w:tcPr>
          <w:p w14:paraId="494674BD" w14:textId="77777777" w:rsidR="006435ED" w:rsidRPr="00AE2B70" w:rsidRDefault="006435ED" w:rsidP="00D308D9">
            <w:r w:rsidRPr="00AE2B70">
              <w:t>Age-Sex Group by LA (245)</w:t>
            </w:r>
          </w:p>
        </w:tc>
        <w:tc>
          <w:tcPr>
            <w:tcW w:w="2246" w:type="dxa"/>
          </w:tcPr>
          <w:p w14:paraId="2EF941F7" w14:textId="77777777" w:rsidR="006435ED" w:rsidRPr="00AE2B70" w:rsidRDefault="006435ED" w:rsidP="00D308D9">
            <w:r w:rsidRPr="00AE2B70">
              <w:t>67</w:t>
            </w:r>
          </w:p>
        </w:tc>
        <w:tc>
          <w:tcPr>
            <w:tcW w:w="2419" w:type="dxa"/>
          </w:tcPr>
          <w:p w14:paraId="2B6474BA" w14:textId="77777777" w:rsidR="006435ED" w:rsidRPr="00AE2B70" w:rsidRDefault="006435ED" w:rsidP="00D308D9">
            <w:pPr>
              <w:rPr>
                <w:b/>
              </w:rPr>
            </w:pPr>
            <w:r w:rsidRPr="00AE2B70">
              <w:rPr>
                <w:b/>
              </w:rPr>
              <w:t>118</w:t>
            </w:r>
          </w:p>
        </w:tc>
        <w:tc>
          <w:tcPr>
            <w:tcW w:w="2075" w:type="dxa"/>
          </w:tcPr>
          <w:p w14:paraId="47DECECC" w14:textId="77777777" w:rsidR="006435ED" w:rsidRPr="00AE2B70" w:rsidRDefault="006435ED" w:rsidP="00D308D9">
            <w:r w:rsidRPr="00AE2B70">
              <w:t>652</w:t>
            </w:r>
          </w:p>
        </w:tc>
      </w:tr>
      <w:tr w:rsidR="006435ED" w:rsidRPr="00AE2B70" w14:paraId="373A9962" w14:textId="77777777" w:rsidTr="00D308D9">
        <w:tc>
          <w:tcPr>
            <w:tcW w:w="2276" w:type="dxa"/>
          </w:tcPr>
          <w:p w14:paraId="0BFB40A4" w14:textId="77777777" w:rsidR="006435ED" w:rsidRPr="00AE2B70" w:rsidRDefault="006435ED" w:rsidP="00D308D9">
            <w:r w:rsidRPr="00AE2B70">
              <w:t>Ethnicity (3)</w:t>
            </w:r>
          </w:p>
        </w:tc>
        <w:tc>
          <w:tcPr>
            <w:tcW w:w="2246" w:type="dxa"/>
          </w:tcPr>
          <w:p w14:paraId="40EB7F1D" w14:textId="77777777" w:rsidR="006435ED" w:rsidRPr="00AE2B70" w:rsidRDefault="006435ED" w:rsidP="00D308D9">
            <w:r w:rsidRPr="00AE2B70">
              <w:t>1</w:t>
            </w:r>
          </w:p>
        </w:tc>
        <w:tc>
          <w:tcPr>
            <w:tcW w:w="2419" w:type="dxa"/>
          </w:tcPr>
          <w:p w14:paraId="25784378" w14:textId="77777777" w:rsidR="006435ED" w:rsidRPr="00AE2B70" w:rsidRDefault="006435ED" w:rsidP="00D308D9">
            <w:pPr>
              <w:rPr>
                <w:b/>
              </w:rPr>
            </w:pPr>
            <w:r w:rsidRPr="00AE2B70">
              <w:rPr>
                <w:b/>
              </w:rPr>
              <w:t>1</w:t>
            </w:r>
          </w:p>
        </w:tc>
        <w:tc>
          <w:tcPr>
            <w:tcW w:w="2075" w:type="dxa"/>
          </w:tcPr>
          <w:p w14:paraId="11C11475" w14:textId="77777777" w:rsidR="006435ED" w:rsidRPr="00AE2B70" w:rsidRDefault="006435ED" w:rsidP="00D308D9">
            <w:r w:rsidRPr="00AE2B70">
              <w:t>5132</w:t>
            </w:r>
          </w:p>
        </w:tc>
      </w:tr>
      <w:tr w:rsidR="006435ED" w:rsidRPr="00AE2B70" w14:paraId="0B855DAA" w14:textId="77777777" w:rsidTr="00D308D9">
        <w:tc>
          <w:tcPr>
            <w:tcW w:w="2276" w:type="dxa"/>
          </w:tcPr>
          <w:p w14:paraId="5E1B0603" w14:textId="77777777" w:rsidR="006435ED" w:rsidRPr="00AE2B70" w:rsidRDefault="006435ED" w:rsidP="00D308D9">
            <w:r w:rsidRPr="00AE2B70">
              <w:t>Activity Last Week (2)</w:t>
            </w:r>
          </w:p>
        </w:tc>
        <w:tc>
          <w:tcPr>
            <w:tcW w:w="2246" w:type="dxa"/>
          </w:tcPr>
          <w:p w14:paraId="4DC290E2" w14:textId="77777777" w:rsidR="006435ED" w:rsidRPr="00AE2B70" w:rsidRDefault="006435ED" w:rsidP="00D308D9">
            <w:r w:rsidRPr="00AE2B70">
              <w:t>1</w:t>
            </w:r>
          </w:p>
        </w:tc>
        <w:tc>
          <w:tcPr>
            <w:tcW w:w="2419" w:type="dxa"/>
          </w:tcPr>
          <w:p w14:paraId="3C3D083E" w14:textId="77777777" w:rsidR="006435ED" w:rsidRPr="00AE2B70" w:rsidRDefault="006435ED" w:rsidP="00D308D9">
            <w:pPr>
              <w:rPr>
                <w:b/>
              </w:rPr>
            </w:pPr>
            <w:r w:rsidRPr="00AE2B70">
              <w:rPr>
                <w:b/>
              </w:rPr>
              <w:t>1</w:t>
            </w:r>
          </w:p>
        </w:tc>
        <w:tc>
          <w:tcPr>
            <w:tcW w:w="2075" w:type="dxa"/>
          </w:tcPr>
          <w:p w14:paraId="0C71F9B5" w14:textId="77777777" w:rsidR="006435ED" w:rsidRPr="00AE2B70" w:rsidRDefault="006435ED" w:rsidP="00D308D9">
            <w:r w:rsidRPr="00AE2B70">
              <w:t>1130</w:t>
            </w:r>
          </w:p>
        </w:tc>
      </w:tr>
      <w:tr w:rsidR="006435ED" w:rsidRPr="00AE2B70" w14:paraId="225CB22F" w14:textId="77777777" w:rsidTr="00D308D9">
        <w:tc>
          <w:tcPr>
            <w:tcW w:w="2276" w:type="dxa"/>
          </w:tcPr>
          <w:p w14:paraId="1666EC1F" w14:textId="77777777" w:rsidR="006435ED" w:rsidRPr="00AE2B70" w:rsidRDefault="006435ED" w:rsidP="00D308D9">
            <w:r w:rsidRPr="00AE2B70">
              <w:t>Household size (3)</w:t>
            </w:r>
          </w:p>
        </w:tc>
        <w:tc>
          <w:tcPr>
            <w:tcW w:w="2246" w:type="dxa"/>
          </w:tcPr>
          <w:p w14:paraId="057D1EEE" w14:textId="77777777" w:rsidR="006435ED" w:rsidRPr="00AE2B70" w:rsidRDefault="006435ED" w:rsidP="00D308D9">
            <w:r w:rsidRPr="00AE2B70">
              <w:t>277</w:t>
            </w:r>
          </w:p>
        </w:tc>
        <w:tc>
          <w:tcPr>
            <w:tcW w:w="2419" w:type="dxa"/>
          </w:tcPr>
          <w:p w14:paraId="2C1856BF" w14:textId="77777777" w:rsidR="006435ED" w:rsidRPr="00AE2B70" w:rsidRDefault="006435ED" w:rsidP="00D308D9">
            <w:pPr>
              <w:rPr>
                <w:b/>
              </w:rPr>
            </w:pPr>
            <w:r w:rsidRPr="00AE2B70">
              <w:rPr>
                <w:b/>
              </w:rPr>
              <w:t>1</w:t>
            </w:r>
          </w:p>
          <w:p w14:paraId="3CC49F66" w14:textId="77777777" w:rsidR="006435ED" w:rsidRPr="00AE2B70" w:rsidRDefault="006435ED" w:rsidP="00D308D9">
            <w:pPr>
              <w:rPr>
                <w:b/>
              </w:rPr>
            </w:pPr>
          </w:p>
        </w:tc>
        <w:tc>
          <w:tcPr>
            <w:tcW w:w="2075" w:type="dxa"/>
          </w:tcPr>
          <w:p w14:paraId="5E23E6DE" w14:textId="77777777" w:rsidR="006435ED" w:rsidRPr="00AE2B70" w:rsidRDefault="006435ED" w:rsidP="00D308D9">
            <w:r w:rsidRPr="00AE2B70">
              <w:t>1106</w:t>
            </w:r>
          </w:p>
        </w:tc>
      </w:tr>
      <w:tr w:rsidR="006435ED" w:rsidRPr="00AE2B70" w14:paraId="34254D9E" w14:textId="77777777" w:rsidTr="00D308D9">
        <w:tc>
          <w:tcPr>
            <w:tcW w:w="2276" w:type="dxa"/>
          </w:tcPr>
          <w:p w14:paraId="592C7F41" w14:textId="77777777" w:rsidR="006435ED" w:rsidRPr="00AE2B70" w:rsidRDefault="006435ED" w:rsidP="00D308D9">
            <w:r w:rsidRPr="00AE2B70">
              <w:t>Hard to Count Index (2)</w:t>
            </w:r>
          </w:p>
        </w:tc>
        <w:tc>
          <w:tcPr>
            <w:tcW w:w="2246" w:type="dxa"/>
          </w:tcPr>
          <w:p w14:paraId="1B1AB3B6" w14:textId="77777777" w:rsidR="006435ED" w:rsidRPr="00AE2B70" w:rsidRDefault="006435ED" w:rsidP="00D308D9">
            <w:r w:rsidRPr="00AE2B70">
              <w:t>0</w:t>
            </w:r>
          </w:p>
        </w:tc>
        <w:tc>
          <w:tcPr>
            <w:tcW w:w="2419" w:type="dxa"/>
          </w:tcPr>
          <w:p w14:paraId="6A6D1173" w14:textId="77777777" w:rsidR="006435ED" w:rsidRPr="00AE2B70" w:rsidRDefault="006435ED" w:rsidP="00D308D9">
            <w:pPr>
              <w:rPr>
                <w:b/>
              </w:rPr>
            </w:pPr>
            <w:r w:rsidRPr="00AE2B70">
              <w:rPr>
                <w:b/>
              </w:rPr>
              <w:t>0</w:t>
            </w:r>
          </w:p>
        </w:tc>
        <w:tc>
          <w:tcPr>
            <w:tcW w:w="2075" w:type="dxa"/>
          </w:tcPr>
          <w:p w14:paraId="75435BCA" w14:textId="77777777" w:rsidR="006435ED" w:rsidRPr="00AE2B70" w:rsidRDefault="006435ED" w:rsidP="00D308D9">
            <w:r w:rsidRPr="00AE2B70">
              <w:t>396</w:t>
            </w:r>
          </w:p>
        </w:tc>
      </w:tr>
      <w:bookmarkEnd w:id="2"/>
    </w:tbl>
    <w:p w14:paraId="161F7C58" w14:textId="77777777" w:rsidR="006435ED" w:rsidRPr="00AE2B70" w:rsidRDefault="006435ED" w:rsidP="006435ED"/>
    <w:p w14:paraId="50F1FC8E" w14:textId="77777777" w:rsidR="006435ED" w:rsidRPr="00AE2B70" w:rsidRDefault="006435ED" w:rsidP="006435ED">
      <w:pPr>
        <w:rPr>
          <w:b/>
        </w:rPr>
      </w:pPr>
      <w:r w:rsidRPr="00AE2B70">
        <w:rPr>
          <w:b/>
        </w:rPr>
        <w:t>Table 1b: Inner London Estimation Area</w:t>
      </w:r>
    </w:p>
    <w:tbl>
      <w:tblPr>
        <w:tblStyle w:val="TableGrid"/>
        <w:tblW w:w="0" w:type="auto"/>
        <w:tblLook w:val="04A0" w:firstRow="1" w:lastRow="0" w:firstColumn="1" w:lastColumn="0" w:noHBand="0" w:noVBand="1"/>
      </w:tblPr>
      <w:tblGrid>
        <w:gridCol w:w="2263"/>
        <w:gridCol w:w="2268"/>
        <w:gridCol w:w="2410"/>
        <w:gridCol w:w="2081"/>
      </w:tblGrid>
      <w:tr w:rsidR="006435ED" w:rsidRPr="00AE2B70" w14:paraId="6218CC4F" w14:textId="77777777" w:rsidTr="00D308D9">
        <w:tc>
          <w:tcPr>
            <w:tcW w:w="2263" w:type="dxa"/>
            <w:vMerge w:val="restart"/>
            <w:vAlign w:val="center"/>
          </w:tcPr>
          <w:p w14:paraId="6E72C374" w14:textId="77777777" w:rsidR="006435ED" w:rsidRPr="00AE2B70" w:rsidRDefault="006435ED" w:rsidP="00D308D9">
            <w:r w:rsidRPr="00AE2B70">
              <w:t>Variable (number of categories)</w:t>
            </w:r>
          </w:p>
        </w:tc>
        <w:tc>
          <w:tcPr>
            <w:tcW w:w="6759" w:type="dxa"/>
            <w:gridSpan w:val="3"/>
          </w:tcPr>
          <w:p w14:paraId="43C11A3F" w14:textId="77777777" w:rsidR="006435ED" w:rsidRPr="00AE2B70" w:rsidRDefault="006435ED" w:rsidP="00D308D9">
            <w:pPr>
              <w:jc w:val="center"/>
            </w:pPr>
            <w:r w:rsidRPr="00AE2B70">
              <w:t>TAE</w:t>
            </w:r>
          </w:p>
        </w:tc>
      </w:tr>
      <w:tr w:rsidR="006435ED" w:rsidRPr="00AE2B70" w14:paraId="1AA40BA2" w14:textId="77777777" w:rsidTr="00D308D9">
        <w:tc>
          <w:tcPr>
            <w:tcW w:w="2263" w:type="dxa"/>
            <w:vMerge/>
          </w:tcPr>
          <w:p w14:paraId="6C62E257" w14:textId="77777777" w:rsidR="006435ED" w:rsidRPr="00AE2B70" w:rsidRDefault="006435ED" w:rsidP="00D308D9"/>
        </w:tc>
        <w:tc>
          <w:tcPr>
            <w:tcW w:w="2268" w:type="dxa"/>
          </w:tcPr>
          <w:p w14:paraId="2892162C" w14:textId="77777777" w:rsidR="006435ED" w:rsidRPr="00AE2B70" w:rsidRDefault="006435ED" w:rsidP="00D308D9">
            <w:r w:rsidRPr="00AE2B70">
              <w:t>CO for wholly missing households (average of 100 runs)</w:t>
            </w:r>
          </w:p>
        </w:tc>
        <w:tc>
          <w:tcPr>
            <w:tcW w:w="2410" w:type="dxa"/>
          </w:tcPr>
          <w:p w14:paraId="0769657D" w14:textId="77777777" w:rsidR="006435ED" w:rsidRPr="00AE2B70" w:rsidRDefault="006435ED" w:rsidP="00D308D9">
            <w:pPr>
              <w:rPr>
                <w:b/>
              </w:rPr>
            </w:pPr>
            <w:r w:rsidRPr="00AE2B70">
              <w:rPr>
                <w:b/>
              </w:rPr>
              <w:t>CO for whole adjustment process (average over 100 runs)</w:t>
            </w:r>
          </w:p>
        </w:tc>
        <w:tc>
          <w:tcPr>
            <w:tcW w:w="2081" w:type="dxa"/>
          </w:tcPr>
          <w:p w14:paraId="7167152B" w14:textId="77777777" w:rsidR="006435ED" w:rsidRPr="00AE2B70" w:rsidRDefault="006435ED" w:rsidP="00D308D9">
            <w:r w:rsidRPr="00AE2B70">
              <w:t>2011 system</w:t>
            </w:r>
          </w:p>
        </w:tc>
      </w:tr>
      <w:tr w:rsidR="006435ED" w:rsidRPr="00AE2B70" w14:paraId="43C616B2" w14:textId="77777777" w:rsidTr="00D308D9">
        <w:tc>
          <w:tcPr>
            <w:tcW w:w="2263" w:type="dxa"/>
          </w:tcPr>
          <w:p w14:paraId="225F06D1" w14:textId="77777777" w:rsidR="006435ED" w:rsidRPr="00AE2B70" w:rsidRDefault="006435ED" w:rsidP="00D308D9">
            <w:r w:rsidRPr="00AE2B70">
              <w:t>Age-Sex Group by LA (35)</w:t>
            </w:r>
          </w:p>
        </w:tc>
        <w:tc>
          <w:tcPr>
            <w:tcW w:w="2268" w:type="dxa"/>
          </w:tcPr>
          <w:p w14:paraId="329545E9" w14:textId="77777777" w:rsidR="006435ED" w:rsidRPr="00AE2B70" w:rsidRDefault="006435ED" w:rsidP="00D308D9">
            <w:r w:rsidRPr="00AE2B70">
              <w:t>35</w:t>
            </w:r>
          </w:p>
        </w:tc>
        <w:tc>
          <w:tcPr>
            <w:tcW w:w="2410" w:type="dxa"/>
          </w:tcPr>
          <w:p w14:paraId="23A7C826" w14:textId="77777777" w:rsidR="006435ED" w:rsidRPr="00AE2B70" w:rsidRDefault="006435ED" w:rsidP="00D308D9">
            <w:pPr>
              <w:rPr>
                <w:b/>
              </w:rPr>
            </w:pPr>
            <w:r w:rsidRPr="00AE2B70">
              <w:rPr>
                <w:b/>
              </w:rPr>
              <w:t>5</w:t>
            </w:r>
          </w:p>
        </w:tc>
        <w:tc>
          <w:tcPr>
            <w:tcW w:w="2081" w:type="dxa"/>
          </w:tcPr>
          <w:p w14:paraId="76B61EBC" w14:textId="77777777" w:rsidR="006435ED" w:rsidRPr="00AE2B70" w:rsidRDefault="006435ED" w:rsidP="00D308D9">
            <w:r w:rsidRPr="00AE2B70">
              <w:t>144</w:t>
            </w:r>
          </w:p>
        </w:tc>
      </w:tr>
      <w:tr w:rsidR="006435ED" w:rsidRPr="00AE2B70" w14:paraId="01508FA3" w14:textId="77777777" w:rsidTr="00D308D9">
        <w:tc>
          <w:tcPr>
            <w:tcW w:w="2263" w:type="dxa"/>
          </w:tcPr>
          <w:p w14:paraId="21618302" w14:textId="77777777" w:rsidR="006435ED" w:rsidRPr="00AE2B70" w:rsidRDefault="006435ED" w:rsidP="00D308D9">
            <w:r w:rsidRPr="00AE2B70">
              <w:t>Ethnicity (8)</w:t>
            </w:r>
          </w:p>
        </w:tc>
        <w:tc>
          <w:tcPr>
            <w:tcW w:w="2268" w:type="dxa"/>
          </w:tcPr>
          <w:p w14:paraId="34EB9D1F" w14:textId="77777777" w:rsidR="006435ED" w:rsidRPr="00AE2B70" w:rsidRDefault="006435ED" w:rsidP="00D308D9">
            <w:r w:rsidRPr="00AE2B70">
              <w:t>0</w:t>
            </w:r>
          </w:p>
        </w:tc>
        <w:tc>
          <w:tcPr>
            <w:tcW w:w="2410" w:type="dxa"/>
          </w:tcPr>
          <w:p w14:paraId="4DF78D58" w14:textId="77777777" w:rsidR="006435ED" w:rsidRPr="00AE2B70" w:rsidRDefault="006435ED" w:rsidP="00D308D9">
            <w:pPr>
              <w:rPr>
                <w:b/>
              </w:rPr>
            </w:pPr>
            <w:r w:rsidRPr="00AE2B70">
              <w:rPr>
                <w:b/>
              </w:rPr>
              <w:t>0</w:t>
            </w:r>
          </w:p>
        </w:tc>
        <w:tc>
          <w:tcPr>
            <w:tcW w:w="2081" w:type="dxa"/>
          </w:tcPr>
          <w:p w14:paraId="2CF65611" w14:textId="77777777" w:rsidR="006435ED" w:rsidRPr="00AE2B70" w:rsidRDefault="006435ED" w:rsidP="00D308D9">
            <w:r w:rsidRPr="00AE2B70">
              <w:t>722</w:t>
            </w:r>
          </w:p>
        </w:tc>
      </w:tr>
      <w:tr w:rsidR="006435ED" w:rsidRPr="00AE2B70" w14:paraId="7EC02468" w14:textId="77777777" w:rsidTr="00D308D9">
        <w:tc>
          <w:tcPr>
            <w:tcW w:w="2263" w:type="dxa"/>
          </w:tcPr>
          <w:p w14:paraId="0AA3224E" w14:textId="77777777" w:rsidR="006435ED" w:rsidRPr="00AE2B70" w:rsidRDefault="006435ED" w:rsidP="00D308D9">
            <w:r w:rsidRPr="00AE2B70">
              <w:t>Activity Last Week (2)</w:t>
            </w:r>
          </w:p>
        </w:tc>
        <w:tc>
          <w:tcPr>
            <w:tcW w:w="2268" w:type="dxa"/>
          </w:tcPr>
          <w:p w14:paraId="2F67C5C2" w14:textId="77777777" w:rsidR="006435ED" w:rsidRPr="00AE2B70" w:rsidRDefault="006435ED" w:rsidP="00D308D9">
            <w:r w:rsidRPr="00AE2B70">
              <w:t>0</w:t>
            </w:r>
          </w:p>
        </w:tc>
        <w:tc>
          <w:tcPr>
            <w:tcW w:w="2410" w:type="dxa"/>
          </w:tcPr>
          <w:p w14:paraId="3B1A6407" w14:textId="77777777" w:rsidR="006435ED" w:rsidRPr="00AE2B70" w:rsidRDefault="006435ED" w:rsidP="00D308D9">
            <w:pPr>
              <w:rPr>
                <w:b/>
              </w:rPr>
            </w:pPr>
            <w:r w:rsidRPr="00AE2B70">
              <w:rPr>
                <w:b/>
              </w:rPr>
              <w:t>0</w:t>
            </w:r>
          </w:p>
        </w:tc>
        <w:tc>
          <w:tcPr>
            <w:tcW w:w="2081" w:type="dxa"/>
          </w:tcPr>
          <w:p w14:paraId="7E7C39BE" w14:textId="77777777" w:rsidR="006435ED" w:rsidRPr="00AE2B70" w:rsidRDefault="006435ED" w:rsidP="00D308D9">
            <w:r w:rsidRPr="00AE2B70">
              <w:t>112</w:t>
            </w:r>
          </w:p>
        </w:tc>
      </w:tr>
      <w:tr w:rsidR="006435ED" w:rsidRPr="00AE2B70" w14:paraId="73A32BE6" w14:textId="77777777" w:rsidTr="00D308D9">
        <w:tc>
          <w:tcPr>
            <w:tcW w:w="2263" w:type="dxa"/>
          </w:tcPr>
          <w:p w14:paraId="2C41A9AF" w14:textId="77777777" w:rsidR="006435ED" w:rsidRPr="00AE2B70" w:rsidRDefault="006435ED" w:rsidP="00D308D9">
            <w:r w:rsidRPr="00AE2B70">
              <w:t>Household size (3)</w:t>
            </w:r>
          </w:p>
        </w:tc>
        <w:tc>
          <w:tcPr>
            <w:tcW w:w="2268" w:type="dxa"/>
          </w:tcPr>
          <w:p w14:paraId="6E177ACF" w14:textId="77777777" w:rsidR="006435ED" w:rsidRPr="00AE2B70" w:rsidRDefault="006435ED" w:rsidP="00D308D9">
            <w:r w:rsidRPr="00AE2B70">
              <w:t>423</w:t>
            </w:r>
          </w:p>
        </w:tc>
        <w:tc>
          <w:tcPr>
            <w:tcW w:w="2410" w:type="dxa"/>
          </w:tcPr>
          <w:p w14:paraId="15CF480B" w14:textId="77777777" w:rsidR="006435ED" w:rsidRPr="00AE2B70" w:rsidRDefault="006435ED" w:rsidP="00D308D9">
            <w:pPr>
              <w:rPr>
                <w:b/>
              </w:rPr>
            </w:pPr>
            <w:r w:rsidRPr="00AE2B70">
              <w:rPr>
                <w:b/>
              </w:rPr>
              <w:t>0</w:t>
            </w:r>
          </w:p>
        </w:tc>
        <w:tc>
          <w:tcPr>
            <w:tcW w:w="2081" w:type="dxa"/>
          </w:tcPr>
          <w:p w14:paraId="4C0B96C0" w14:textId="77777777" w:rsidR="006435ED" w:rsidRPr="00AE2B70" w:rsidRDefault="006435ED" w:rsidP="00D308D9">
            <w:r w:rsidRPr="00AE2B70">
              <w:t>322</w:t>
            </w:r>
          </w:p>
        </w:tc>
      </w:tr>
      <w:tr w:rsidR="006435ED" w:rsidRPr="00AE2B70" w14:paraId="30537935" w14:textId="77777777" w:rsidTr="00D308D9">
        <w:tc>
          <w:tcPr>
            <w:tcW w:w="2263" w:type="dxa"/>
          </w:tcPr>
          <w:p w14:paraId="55D802D3" w14:textId="77777777" w:rsidR="006435ED" w:rsidRPr="00AE2B70" w:rsidRDefault="006435ED" w:rsidP="00D308D9">
            <w:r w:rsidRPr="00AE2B70">
              <w:t>Hard to Count Index (2)</w:t>
            </w:r>
          </w:p>
        </w:tc>
        <w:tc>
          <w:tcPr>
            <w:tcW w:w="2268" w:type="dxa"/>
          </w:tcPr>
          <w:p w14:paraId="5AF1449F" w14:textId="77777777" w:rsidR="006435ED" w:rsidRPr="00AE2B70" w:rsidRDefault="006435ED" w:rsidP="00D308D9">
            <w:r w:rsidRPr="00AE2B70">
              <w:t>0</w:t>
            </w:r>
          </w:p>
        </w:tc>
        <w:tc>
          <w:tcPr>
            <w:tcW w:w="2410" w:type="dxa"/>
          </w:tcPr>
          <w:p w14:paraId="74E27E25" w14:textId="77777777" w:rsidR="006435ED" w:rsidRPr="00AE2B70" w:rsidRDefault="006435ED" w:rsidP="00D308D9">
            <w:pPr>
              <w:rPr>
                <w:b/>
              </w:rPr>
            </w:pPr>
            <w:r w:rsidRPr="00AE2B70">
              <w:rPr>
                <w:b/>
              </w:rPr>
              <w:t>0</w:t>
            </w:r>
          </w:p>
        </w:tc>
        <w:tc>
          <w:tcPr>
            <w:tcW w:w="2081" w:type="dxa"/>
          </w:tcPr>
          <w:p w14:paraId="300E5158" w14:textId="77777777" w:rsidR="006435ED" w:rsidRPr="00AE2B70" w:rsidRDefault="006435ED" w:rsidP="00D308D9">
            <w:r w:rsidRPr="00AE2B70">
              <w:t>0</w:t>
            </w:r>
          </w:p>
        </w:tc>
      </w:tr>
    </w:tbl>
    <w:p w14:paraId="0D5DB0BC" w14:textId="77777777" w:rsidR="006435ED" w:rsidRPr="00AE2B70" w:rsidRDefault="006435ED" w:rsidP="006435ED">
      <w:pPr>
        <w:rPr>
          <w:b/>
        </w:rPr>
      </w:pPr>
    </w:p>
    <w:p w14:paraId="5E51E4E7" w14:textId="77777777" w:rsidR="006435ED" w:rsidRPr="00AE2B70" w:rsidRDefault="006435ED" w:rsidP="006435ED">
      <w:pPr>
        <w:rPr>
          <w:b/>
        </w:rPr>
      </w:pPr>
      <w:r w:rsidRPr="00AE2B70">
        <w:rPr>
          <w:b/>
        </w:rPr>
        <w:br w:type="page"/>
      </w:r>
      <w:r w:rsidRPr="00AE2B70">
        <w:rPr>
          <w:b/>
        </w:rPr>
        <w:lastRenderedPageBreak/>
        <w:t>Table 1c: Outer London Estimation Area</w:t>
      </w:r>
    </w:p>
    <w:tbl>
      <w:tblPr>
        <w:tblStyle w:val="TableGrid"/>
        <w:tblW w:w="0" w:type="auto"/>
        <w:tblLook w:val="04A0" w:firstRow="1" w:lastRow="0" w:firstColumn="1" w:lastColumn="0" w:noHBand="0" w:noVBand="1"/>
      </w:tblPr>
      <w:tblGrid>
        <w:gridCol w:w="2263"/>
        <w:gridCol w:w="2268"/>
        <w:gridCol w:w="2410"/>
        <w:gridCol w:w="2081"/>
      </w:tblGrid>
      <w:tr w:rsidR="006435ED" w:rsidRPr="00AE2B70" w14:paraId="425B53A6" w14:textId="77777777" w:rsidTr="00D308D9">
        <w:tc>
          <w:tcPr>
            <w:tcW w:w="2263" w:type="dxa"/>
            <w:vMerge w:val="restart"/>
            <w:vAlign w:val="center"/>
          </w:tcPr>
          <w:p w14:paraId="06C74C23" w14:textId="77777777" w:rsidR="006435ED" w:rsidRPr="00AE2B70" w:rsidRDefault="006435ED" w:rsidP="00D308D9">
            <w:r w:rsidRPr="00AE2B70">
              <w:t>Variable (number of categories)</w:t>
            </w:r>
          </w:p>
        </w:tc>
        <w:tc>
          <w:tcPr>
            <w:tcW w:w="6759" w:type="dxa"/>
            <w:gridSpan w:val="3"/>
          </w:tcPr>
          <w:p w14:paraId="26C08281" w14:textId="77777777" w:rsidR="006435ED" w:rsidRPr="00AE2B70" w:rsidRDefault="006435ED" w:rsidP="00D308D9">
            <w:pPr>
              <w:jc w:val="center"/>
            </w:pPr>
            <w:r w:rsidRPr="00AE2B70">
              <w:t>TAE</w:t>
            </w:r>
          </w:p>
        </w:tc>
      </w:tr>
      <w:tr w:rsidR="006435ED" w:rsidRPr="00AE2B70" w14:paraId="52F8B9F0" w14:textId="77777777" w:rsidTr="00D308D9">
        <w:tc>
          <w:tcPr>
            <w:tcW w:w="2263" w:type="dxa"/>
            <w:vMerge/>
          </w:tcPr>
          <w:p w14:paraId="44A4D767" w14:textId="77777777" w:rsidR="006435ED" w:rsidRPr="00AE2B70" w:rsidRDefault="006435ED" w:rsidP="00D308D9"/>
        </w:tc>
        <w:tc>
          <w:tcPr>
            <w:tcW w:w="2268" w:type="dxa"/>
          </w:tcPr>
          <w:p w14:paraId="02E86AEE" w14:textId="77777777" w:rsidR="006435ED" w:rsidRPr="00AE2B70" w:rsidRDefault="006435ED" w:rsidP="00D308D9">
            <w:r w:rsidRPr="00AE2B70">
              <w:t>CO for wholly missing households (average of 100 runs)</w:t>
            </w:r>
          </w:p>
        </w:tc>
        <w:tc>
          <w:tcPr>
            <w:tcW w:w="2410" w:type="dxa"/>
          </w:tcPr>
          <w:p w14:paraId="295ADE24" w14:textId="77777777" w:rsidR="006435ED" w:rsidRPr="00AE2B70" w:rsidRDefault="006435ED" w:rsidP="00D308D9">
            <w:pPr>
              <w:rPr>
                <w:b/>
              </w:rPr>
            </w:pPr>
            <w:r w:rsidRPr="00AE2B70">
              <w:rPr>
                <w:b/>
              </w:rPr>
              <w:t>CO for whole adjustment process (average over 100 runs)</w:t>
            </w:r>
          </w:p>
        </w:tc>
        <w:tc>
          <w:tcPr>
            <w:tcW w:w="2081" w:type="dxa"/>
          </w:tcPr>
          <w:p w14:paraId="1E08CEF8" w14:textId="77777777" w:rsidR="006435ED" w:rsidRPr="00AE2B70" w:rsidRDefault="006435ED" w:rsidP="00D308D9">
            <w:r w:rsidRPr="00AE2B70">
              <w:t>2011 system</w:t>
            </w:r>
          </w:p>
        </w:tc>
      </w:tr>
      <w:tr w:rsidR="006435ED" w:rsidRPr="00AE2B70" w14:paraId="7AA9A237" w14:textId="77777777" w:rsidTr="00D308D9">
        <w:tc>
          <w:tcPr>
            <w:tcW w:w="2263" w:type="dxa"/>
          </w:tcPr>
          <w:p w14:paraId="2B020EB8" w14:textId="77777777" w:rsidR="006435ED" w:rsidRPr="00AE2B70" w:rsidRDefault="006435ED" w:rsidP="00D308D9">
            <w:r w:rsidRPr="00AE2B70">
              <w:t>Age-Sex Group by LA (35)</w:t>
            </w:r>
          </w:p>
        </w:tc>
        <w:tc>
          <w:tcPr>
            <w:tcW w:w="2268" w:type="dxa"/>
          </w:tcPr>
          <w:p w14:paraId="08FB7D37" w14:textId="77777777" w:rsidR="006435ED" w:rsidRPr="00AE2B70" w:rsidRDefault="006435ED" w:rsidP="00D308D9">
            <w:r w:rsidRPr="00AE2B70">
              <w:t>38</w:t>
            </w:r>
          </w:p>
        </w:tc>
        <w:tc>
          <w:tcPr>
            <w:tcW w:w="2410" w:type="dxa"/>
          </w:tcPr>
          <w:p w14:paraId="32FF6EB0" w14:textId="77777777" w:rsidR="006435ED" w:rsidRPr="00AE2B70" w:rsidRDefault="006435ED" w:rsidP="00D308D9">
            <w:pPr>
              <w:rPr>
                <w:b/>
              </w:rPr>
            </w:pPr>
            <w:r w:rsidRPr="00AE2B70">
              <w:rPr>
                <w:b/>
              </w:rPr>
              <w:t>69</w:t>
            </w:r>
          </w:p>
        </w:tc>
        <w:tc>
          <w:tcPr>
            <w:tcW w:w="2081" w:type="dxa"/>
          </w:tcPr>
          <w:p w14:paraId="0C462943" w14:textId="77777777" w:rsidR="006435ED" w:rsidRPr="00AE2B70" w:rsidRDefault="006435ED" w:rsidP="00D308D9">
            <w:r w:rsidRPr="00AE2B70">
              <w:t>103</w:t>
            </w:r>
          </w:p>
        </w:tc>
      </w:tr>
      <w:tr w:rsidR="006435ED" w:rsidRPr="00AE2B70" w14:paraId="7E737563" w14:textId="77777777" w:rsidTr="00D308D9">
        <w:tc>
          <w:tcPr>
            <w:tcW w:w="2263" w:type="dxa"/>
          </w:tcPr>
          <w:p w14:paraId="58C0FEA2" w14:textId="77777777" w:rsidR="006435ED" w:rsidRPr="00AE2B70" w:rsidRDefault="006435ED" w:rsidP="00D308D9">
            <w:r w:rsidRPr="00AE2B70">
              <w:t>Ethnicity (10)</w:t>
            </w:r>
          </w:p>
        </w:tc>
        <w:tc>
          <w:tcPr>
            <w:tcW w:w="2268" w:type="dxa"/>
          </w:tcPr>
          <w:p w14:paraId="7EF560FE" w14:textId="77777777" w:rsidR="006435ED" w:rsidRPr="00AE2B70" w:rsidRDefault="006435ED" w:rsidP="00D308D9">
            <w:r w:rsidRPr="00AE2B70">
              <w:t>0</w:t>
            </w:r>
          </w:p>
        </w:tc>
        <w:tc>
          <w:tcPr>
            <w:tcW w:w="2410" w:type="dxa"/>
          </w:tcPr>
          <w:p w14:paraId="2696EFCE" w14:textId="77777777" w:rsidR="006435ED" w:rsidRPr="00AE2B70" w:rsidRDefault="006435ED" w:rsidP="00D308D9">
            <w:pPr>
              <w:rPr>
                <w:b/>
              </w:rPr>
            </w:pPr>
            <w:r w:rsidRPr="00AE2B70">
              <w:rPr>
                <w:b/>
              </w:rPr>
              <w:t>0</w:t>
            </w:r>
          </w:p>
        </w:tc>
        <w:tc>
          <w:tcPr>
            <w:tcW w:w="2081" w:type="dxa"/>
          </w:tcPr>
          <w:p w14:paraId="077A6B4F" w14:textId="77777777" w:rsidR="006435ED" w:rsidRPr="00AE2B70" w:rsidRDefault="006435ED" w:rsidP="00D308D9">
            <w:r w:rsidRPr="00AE2B70">
              <w:t>427</w:t>
            </w:r>
          </w:p>
        </w:tc>
      </w:tr>
      <w:tr w:rsidR="006435ED" w:rsidRPr="00AE2B70" w14:paraId="3570499E" w14:textId="77777777" w:rsidTr="00D308D9">
        <w:tc>
          <w:tcPr>
            <w:tcW w:w="2263" w:type="dxa"/>
          </w:tcPr>
          <w:p w14:paraId="2E6B3FF1" w14:textId="77777777" w:rsidR="006435ED" w:rsidRPr="00AE2B70" w:rsidRDefault="006435ED" w:rsidP="00D308D9">
            <w:r w:rsidRPr="00AE2B70">
              <w:t>Activity Last Week (2)</w:t>
            </w:r>
          </w:p>
        </w:tc>
        <w:tc>
          <w:tcPr>
            <w:tcW w:w="2268" w:type="dxa"/>
          </w:tcPr>
          <w:p w14:paraId="6380C675" w14:textId="77777777" w:rsidR="006435ED" w:rsidRPr="00AE2B70" w:rsidRDefault="006435ED" w:rsidP="00D308D9">
            <w:r w:rsidRPr="00AE2B70">
              <w:t>0</w:t>
            </w:r>
          </w:p>
        </w:tc>
        <w:tc>
          <w:tcPr>
            <w:tcW w:w="2410" w:type="dxa"/>
          </w:tcPr>
          <w:p w14:paraId="5E4A6266" w14:textId="77777777" w:rsidR="006435ED" w:rsidRPr="00AE2B70" w:rsidRDefault="006435ED" w:rsidP="00D308D9">
            <w:pPr>
              <w:rPr>
                <w:b/>
              </w:rPr>
            </w:pPr>
            <w:r w:rsidRPr="00AE2B70">
              <w:rPr>
                <w:b/>
              </w:rPr>
              <w:t>0</w:t>
            </w:r>
          </w:p>
        </w:tc>
        <w:tc>
          <w:tcPr>
            <w:tcW w:w="2081" w:type="dxa"/>
          </w:tcPr>
          <w:p w14:paraId="66ADD279" w14:textId="77777777" w:rsidR="006435ED" w:rsidRPr="00AE2B70" w:rsidRDefault="006435ED" w:rsidP="00D308D9">
            <w:r w:rsidRPr="00AE2B70">
              <w:t>1169</w:t>
            </w:r>
          </w:p>
        </w:tc>
      </w:tr>
      <w:tr w:rsidR="006435ED" w:rsidRPr="00AE2B70" w14:paraId="7295B717" w14:textId="77777777" w:rsidTr="00D308D9">
        <w:tc>
          <w:tcPr>
            <w:tcW w:w="2263" w:type="dxa"/>
          </w:tcPr>
          <w:p w14:paraId="2FC50E30" w14:textId="77777777" w:rsidR="006435ED" w:rsidRPr="00AE2B70" w:rsidRDefault="006435ED" w:rsidP="00D308D9">
            <w:r w:rsidRPr="00AE2B70">
              <w:t>Household size (2)</w:t>
            </w:r>
          </w:p>
        </w:tc>
        <w:tc>
          <w:tcPr>
            <w:tcW w:w="2268" w:type="dxa"/>
          </w:tcPr>
          <w:p w14:paraId="35BE0E78" w14:textId="77777777" w:rsidR="006435ED" w:rsidRPr="00AE2B70" w:rsidRDefault="006435ED" w:rsidP="00D308D9">
            <w:r w:rsidRPr="00AE2B70">
              <w:t>15</w:t>
            </w:r>
          </w:p>
        </w:tc>
        <w:tc>
          <w:tcPr>
            <w:tcW w:w="2410" w:type="dxa"/>
          </w:tcPr>
          <w:p w14:paraId="573DF2ED" w14:textId="77777777" w:rsidR="006435ED" w:rsidRPr="00AE2B70" w:rsidRDefault="006435ED" w:rsidP="00D308D9">
            <w:pPr>
              <w:rPr>
                <w:b/>
              </w:rPr>
            </w:pPr>
            <w:r w:rsidRPr="00AE2B70">
              <w:rPr>
                <w:b/>
              </w:rPr>
              <w:t>0</w:t>
            </w:r>
          </w:p>
        </w:tc>
        <w:tc>
          <w:tcPr>
            <w:tcW w:w="2081" w:type="dxa"/>
          </w:tcPr>
          <w:p w14:paraId="7E9D460F" w14:textId="77777777" w:rsidR="006435ED" w:rsidRPr="00AE2B70" w:rsidRDefault="006435ED" w:rsidP="00D308D9">
            <w:r w:rsidRPr="00AE2B70">
              <w:t>522</w:t>
            </w:r>
          </w:p>
        </w:tc>
      </w:tr>
      <w:tr w:rsidR="006435ED" w:rsidRPr="00AE2B70" w14:paraId="667EDC48" w14:textId="77777777" w:rsidTr="00D308D9">
        <w:tc>
          <w:tcPr>
            <w:tcW w:w="2263" w:type="dxa"/>
          </w:tcPr>
          <w:p w14:paraId="749DE11E" w14:textId="77777777" w:rsidR="006435ED" w:rsidRPr="00AE2B70" w:rsidRDefault="006435ED" w:rsidP="00D308D9">
            <w:r w:rsidRPr="00AE2B70">
              <w:t>Hard to Count Index (1)</w:t>
            </w:r>
          </w:p>
        </w:tc>
        <w:tc>
          <w:tcPr>
            <w:tcW w:w="2268" w:type="dxa"/>
          </w:tcPr>
          <w:p w14:paraId="67D22E29" w14:textId="77777777" w:rsidR="006435ED" w:rsidRPr="00AE2B70" w:rsidRDefault="006435ED" w:rsidP="00D308D9">
            <w:r w:rsidRPr="00AE2B70">
              <w:t>0</w:t>
            </w:r>
          </w:p>
        </w:tc>
        <w:tc>
          <w:tcPr>
            <w:tcW w:w="2410" w:type="dxa"/>
          </w:tcPr>
          <w:p w14:paraId="0541DB40" w14:textId="77777777" w:rsidR="006435ED" w:rsidRPr="00AE2B70" w:rsidRDefault="006435ED" w:rsidP="00D308D9">
            <w:pPr>
              <w:rPr>
                <w:b/>
              </w:rPr>
            </w:pPr>
            <w:r w:rsidRPr="00AE2B70">
              <w:rPr>
                <w:b/>
              </w:rPr>
              <w:t>0</w:t>
            </w:r>
          </w:p>
        </w:tc>
        <w:tc>
          <w:tcPr>
            <w:tcW w:w="2081" w:type="dxa"/>
          </w:tcPr>
          <w:p w14:paraId="4A84DF7F" w14:textId="77777777" w:rsidR="006435ED" w:rsidRPr="00AE2B70" w:rsidRDefault="006435ED" w:rsidP="00D308D9">
            <w:r w:rsidRPr="00AE2B70">
              <w:t>0</w:t>
            </w:r>
          </w:p>
        </w:tc>
      </w:tr>
    </w:tbl>
    <w:p w14:paraId="2BD5AB7F" w14:textId="77777777" w:rsidR="006435ED" w:rsidRPr="00AE2B70" w:rsidRDefault="006435ED" w:rsidP="006435ED">
      <w:pPr>
        <w:rPr>
          <w:b/>
        </w:rPr>
      </w:pPr>
    </w:p>
    <w:p w14:paraId="3F20EBD9" w14:textId="77777777" w:rsidR="006435ED" w:rsidRPr="00AE2B70" w:rsidRDefault="006435ED" w:rsidP="006435ED">
      <w:pPr>
        <w:rPr>
          <w:b/>
        </w:rPr>
      </w:pPr>
      <w:r w:rsidRPr="00AE2B70">
        <w:rPr>
          <w:b/>
        </w:rPr>
        <w:t>Table 1d: South West Estimation Area</w:t>
      </w:r>
    </w:p>
    <w:tbl>
      <w:tblPr>
        <w:tblStyle w:val="TableGrid"/>
        <w:tblW w:w="0" w:type="auto"/>
        <w:tblLook w:val="04A0" w:firstRow="1" w:lastRow="0" w:firstColumn="1" w:lastColumn="0" w:noHBand="0" w:noVBand="1"/>
      </w:tblPr>
      <w:tblGrid>
        <w:gridCol w:w="2276"/>
        <w:gridCol w:w="2246"/>
        <w:gridCol w:w="2419"/>
        <w:gridCol w:w="2075"/>
      </w:tblGrid>
      <w:tr w:rsidR="006435ED" w:rsidRPr="00AE2B70" w14:paraId="3E933761" w14:textId="77777777" w:rsidTr="00D308D9">
        <w:tc>
          <w:tcPr>
            <w:tcW w:w="2276" w:type="dxa"/>
            <w:vMerge w:val="restart"/>
            <w:vAlign w:val="center"/>
          </w:tcPr>
          <w:p w14:paraId="6D04ACF6" w14:textId="77777777" w:rsidR="006435ED" w:rsidRPr="00AE2B70" w:rsidRDefault="006435ED" w:rsidP="00D308D9">
            <w:r w:rsidRPr="00AE2B70">
              <w:t>Variable (number of categories)</w:t>
            </w:r>
          </w:p>
        </w:tc>
        <w:tc>
          <w:tcPr>
            <w:tcW w:w="6740" w:type="dxa"/>
            <w:gridSpan w:val="3"/>
          </w:tcPr>
          <w:p w14:paraId="676C3DFE" w14:textId="77777777" w:rsidR="006435ED" w:rsidRPr="00AE2B70" w:rsidRDefault="006435ED" w:rsidP="00D308D9">
            <w:pPr>
              <w:jc w:val="center"/>
            </w:pPr>
            <w:r w:rsidRPr="00AE2B70">
              <w:t>TAE</w:t>
            </w:r>
          </w:p>
        </w:tc>
      </w:tr>
      <w:tr w:rsidR="006435ED" w:rsidRPr="00AE2B70" w14:paraId="099A7193" w14:textId="77777777" w:rsidTr="00D308D9">
        <w:tc>
          <w:tcPr>
            <w:tcW w:w="2276" w:type="dxa"/>
            <w:vMerge/>
          </w:tcPr>
          <w:p w14:paraId="30C0529D" w14:textId="77777777" w:rsidR="006435ED" w:rsidRPr="00AE2B70" w:rsidRDefault="006435ED" w:rsidP="00D308D9"/>
        </w:tc>
        <w:tc>
          <w:tcPr>
            <w:tcW w:w="2246" w:type="dxa"/>
          </w:tcPr>
          <w:p w14:paraId="5D2E2AB9" w14:textId="77777777" w:rsidR="006435ED" w:rsidRPr="00AE2B70" w:rsidRDefault="006435ED" w:rsidP="00D308D9">
            <w:r w:rsidRPr="00AE2B70">
              <w:t>CO for wholly missing households (average of 100 runs)</w:t>
            </w:r>
          </w:p>
        </w:tc>
        <w:tc>
          <w:tcPr>
            <w:tcW w:w="2419" w:type="dxa"/>
          </w:tcPr>
          <w:p w14:paraId="4F29E54E" w14:textId="77777777" w:rsidR="006435ED" w:rsidRPr="00AE2B70" w:rsidRDefault="006435ED" w:rsidP="00D308D9">
            <w:pPr>
              <w:rPr>
                <w:b/>
              </w:rPr>
            </w:pPr>
            <w:r w:rsidRPr="00AE2B70">
              <w:rPr>
                <w:b/>
              </w:rPr>
              <w:t>CO for whole adjustment process (average over 100 runs)</w:t>
            </w:r>
          </w:p>
        </w:tc>
        <w:tc>
          <w:tcPr>
            <w:tcW w:w="2075" w:type="dxa"/>
          </w:tcPr>
          <w:p w14:paraId="154EC2F8" w14:textId="77777777" w:rsidR="006435ED" w:rsidRPr="00AE2B70" w:rsidRDefault="006435ED" w:rsidP="00D308D9">
            <w:r w:rsidRPr="00AE2B70">
              <w:t>2011 system</w:t>
            </w:r>
          </w:p>
        </w:tc>
      </w:tr>
      <w:tr w:rsidR="006435ED" w:rsidRPr="00AE2B70" w14:paraId="5369CF93" w14:textId="77777777" w:rsidTr="00D308D9">
        <w:tc>
          <w:tcPr>
            <w:tcW w:w="2276" w:type="dxa"/>
          </w:tcPr>
          <w:p w14:paraId="0503C0D7" w14:textId="77777777" w:rsidR="006435ED" w:rsidRPr="00AE2B70" w:rsidRDefault="006435ED" w:rsidP="00D308D9">
            <w:r w:rsidRPr="00AE2B70">
              <w:t>Age-Sex Group by LA (245)</w:t>
            </w:r>
          </w:p>
        </w:tc>
        <w:tc>
          <w:tcPr>
            <w:tcW w:w="2246" w:type="dxa"/>
          </w:tcPr>
          <w:p w14:paraId="7C09A090" w14:textId="77777777" w:rsidR="006435ED" w:rsidRPr="00AE2B70" w:rsidRDefault="006435ED" w:rsidP="00D308D9">
            <w:r w:rsidRPr="00AE2B70">
              <w:t>82</w:t>
            </w:r>
          </w:p>
        </w:tc>
        <w:tc>
          <w:tcPr>
            <w:tcW w:w="2419" w:type="dxa"/>
          </w:tcPr>
          <w:p w14:paraId="1861B7D0" w14:textId="77777777" w:rsidR="006435ED" w:rsidRPr="00AE2B70" w:rsidRDefault="006435ED" w:rsidP="00D308D9">
            <w:pPr>
              <w:rPr>
                <w:b/>
              </w:rPr>
            </w:pPr>
            <w:r w:rsidRPr="00AE2B70">
              <w:rPr>
                <w:b/>
              </w:rPr>
              <w:t>89</w:t>
            </w:r>
          </w:p>
        </w:tc>
        <w:tc>
          <w:tcPr>
            <w:tcW w:w="2075" w:type="dxa"/>
          </w:tcPr>
          <w:p w14:paraId="77D57802" w14:textId="77777777" w:rsidR="006435ED" w:rsidRPr="00AE2B70" w:rsidRDefault="006435ED" w:rsidP="00D308D9">
            <w:r w:rsidRPr="00AE2B70">
              <w:t>705</w:t>
            </w:r>
          </w:p>
        </w:tc>
      </w:tr>
      <w:tr w:rsidR="006435ED" w:rsidRPr="00AE2B70" w14:paraId="55B0DFBE" w14:textId="77777777" w:rsidTr="00D308D9">
        <w:tc>
          <w:tcPr>
            <w:tcW w:w="2276" w:type="dxa"/>
          </w:tcPr>
          <w:p w14:paraId="1D4D1525" w14:textId="77777777" w:rsidR="006435ED" w:rsidRPr="00AE2B70" w:rsidRDefault="006435ED" w:rsidP="00D308D9">
            <w:r w:rsidRPr="00AE2B70">
              <w:t>Ethnicity (2)</w:t>
            </w:r>
          </w:p>
        </w:tc>
        <w:tc>
          <w:tcPr>
            <w:tcW w:w="2246" w:type="dxa"/>
          </w:tcPr>
          <w:p w14:paraId="3130DEA5" w14:textId="77777777" w:rsidR="006435ED" w:rsidRPr="00AE2B70" w:rsidRDefault="006435ED" w:rsidP="00D308D9">
            <w:r w:rsidRPr="00AE2B70">
              <w:t>0</w:t>
            </w:r>
          </w:p>
        </w:tc>
        <w:tc>
          <w:tcPr>
            <w:tcW w:w="2419" w:type="dxa"/>
          </w:tcPr>
          <w:p w14:paraId="3ADA2E3E" w14:textId="77777777" w:rsidR="006435ED" w:rsidRPr="00AE2B70" w:rsidRDefault="006435ED" w:rsidP="00D308D9">
            <w:pPr>
              <w:rPr>
                <w:b/>
              </w:rPr>
            </w:pPr>
            <w:r w:rsidRPr="00AE2B70">
              <w:rPr>
                <w:b/>
              </w:rPr>
              <w:t>0</w:t>
            </w:r>
          </w:p>
        </w:tc>
        <w:tc>
          <w:tcPr>
            <w:tcW w:w="2075" w:type="dxa"/>
          </w:tcPr>
          <w:p w14:paraId="5F2CD33E" w14:textId="77777777" w:rsidR="006435ED" w:rsidRPr="00AE2B70" w:rsidRDefault="006435ED" w:rsidP="00D308D9">
            <w:r w:rsidRPr="00AE2B70">
              <w:t>141</w:t>
            </w:r>
          </w:p>
        </w:tc>
      </w:tr>
      <w:tr w:rsidR="006435ED" w:rsidRPr="00AE2B70" w14:paraId="3884068C" w14:textId="77777777" w:rsidTr="00D308D9">
        <w:tc>
          <w:tcPr>
            <w:tcW w:w="2276" w:type="dxa"/>
          </w:tcPr>
          <w:p w14:paraId="7D845D47" w14:textId="77777777" w:rsidR="006435ED" w:rsidRPr="00AE2B70" w:rsidRDefault="006435ED" w:rsidP="00D308D9">
            <w:r w:rsidRPr="00AE2B70">
              <w:t>Activity Last Week (2)</w:t>
            </w:r>
          </w:p>
        </w:tc>
        <w:tc>
          <w:tcPr>
            <w:tcW w:w="2246" w:type="dxa"/>
          </w:tcPr>
          <w:p w14:paraId="59FB6427" w14:textId="77777777" w:rsidR="006435ED" w:rsidRPr="00AE2B70" w:rsidRDefault="006435ED" w:rsidP="00D308D9">
            <w:r w:rsidRPr="00AE2B70">
              <w:t>0</w:t>
            </w:r>
          </w:p>
        </w:tc>
        <w:tc>
          <w:tcPr>
            <w:tcW w:w="2419" w:type="dxa"/>
          </w:tcPr>
          <w:p w14:paraId="1C3E13A5" w14:textId="77777777" w:rsidR="006435ED" w:rsidRPr="00AE2B70" w:rsidRDefault="006435ED" w:rsidP="00D308D9">
            <w:pPr>
              <w:rPr>
                <w:b/>
              </w:rPr>
            </w:pPr>
            <w:r w:rsidRPr="00AE2B70">
              <w:rPr>
                <w:b/>
              </w:rPr>
              <w:t>0</w:t>
            </w:r>
          </w:p>
        </w:tc>
        <w:tc>
          <w:tcPr>
            <w:tcW w:w="2075" w:type="dxa"/>
          </w:tcPr>
          <w:p w14:paraId="148474DD" w14:textId="77777777" w:rsidR="006435ED" w:rsidRPr="00AE2B70" w:rsidRDefault="006435ED" w:rsidP="00D308D9">
            <w:r w:rsidRPr="00AE2B70">
              <w:t>1599</w:t>
            </w:r>
          </w:p>
        </w:tc>
      </w:tr>
      <w:tr w:rsidR="006435ED" w:rsidRPr="00AE2B70" w14:paraId="7F063992" w14:textId="77777777" w:rsidTr="00D308D9">
        <w:tc>
          <w:tcPr>
            <w:tcW w:w="2276" w:type="dxa"/>
          </w:tcPr>
          <w:p w14:paraId="3BFBEE8B" w14:textId="77777777" w:rsidR="006435ED" w:rsidRPr="00AE2B70" w:rsidRDefault="006435ED" w:rsidP="00D308D9">
            <w:r w:rsidRPr="00AE2B70">
              <w:t>Household size (2)</w:t>
            </w:r>
          </w:p>
        </w:tc>
        <w:tc>
          <w:tcPr>
            <w:tcW w:w="2246" w:type="dxa"/>
          </w:tcPr>
          <w:p w14:paraId="4AFB217D" w14:textId="77777777" w:rsidR="006435ED" w:rsidRPr="00AE2B70" w:rsidRDefault="006435ED" w:rsidP="00D308D9">
            <w:r w:rsidRPr="00AE2B70">
              <w:t>0</w:t>
            </w:r>
          </w:p>
        </w:tc>
        <w:tc>
          <w:tcPr>
            <w:tcW w:w="2419" w:type="dxa"/>
          </w:tcPr>
          <w:p w14:paraId="1F408DD5" w14:textId="77777777" w:rsidR="006435ED" w:rsidRPr="00AE2B70" w:rsidRDefault="006435ED" w:rsidP="00D308D9">
            <w:pPr>
              <w:rPr>
                <w:b/>
              </w:rPr>
            </w:pPr>
            <w:r w:rsidRPr="00AE2B70">
              <w:rPr>
                <w:b/>
              </w:rPr>
              <w:t>0</w:t>
            </w:r>
          </w:p>
        </w:tc>
        <w:tc>
          <w:tcPr>
            <w:tcW w:w="2075" w:type="dxa"/>
          </w:tcPr>
          <w:p w14:paraId="0A8DDA8E" w14:textId="77777777" w:rsidR="006435ED" w:rsidRPr="00AE2B70" w:rsidRDefault="006435ED" w:rsidP="00D308D9">
            <w:r w:rsidRPr="00AE2B70">
              <w:t>2148</w:t>
            </w:r>
          </w:p>
        </w:tc>
      </w:tr>
      <w:tr w:rsidR="006435ED" w:rsidRPr="00AE2B70" w14:paraId="6E0D6265" w14:textId="77777777" w:rsidTr="00D308D9">
        <w:tc>
          <w:tcPr>
            <w:tcW w:w="2276" w:type="dxa"/>
          </w:tcPr>
          <w:p w14:paraId="2CDB9AE3" w14:textId="77777777" w:rsidR="006435ED" w:rsidRPr="00AE2B70" w:rsidRDefault="006435ED" w:rsidP="00D308D9">
            <w:r w:rsidRPr="00AE2B70">
              <w:t>Hard to Count index (2)</w:t>
            </w:r>
          </w:p>
        </w:tc>
        <w:tc>
          <w:tcPr>
            <w:tcW w:w="2246" w:type="dxa"/>
          </w:tcPr>
          <w:p w14:paraId="7FD1D240" w14:textId="77777777" w:rsidR="006435ED" w:rsidRPr="00AE2B70" w:rsidRDefault="006435ED" w:rsidP="00D308D9">
            <w:r w:rsidRPr="00AE2B70">
              <w:t>0</w:t>
            </w:r>
          </w:p>
        </w:tc>
        <w:tc>
          <w:tcPr>
            <w:tcW w:w="2419" w:type="dxa"/>
          </w:tcPr>
          <w:p w14:paraId="2F7BCEA6" w14:textId="77777777" w:rsidR="006435ED" w:rsidRPr="00AE2B70" w:rsidRDefault="006435ED" w:rsidP="00D308D9">
            <w:pPr>
              <w:rPr>
                <w:b/>
              </w:rPr>
            </w:pPr>
            <w:r w:rsidRPr="00AE2B70">
              <w:rPr>
                <w:b/>
              </w:rPr>
              <w:t>0</w:t>
            </w:r>
          </w:p>
        </w:tc>
        <w:tc>
          <w:tcPr>
            <w:tcW w:w="2075" w:type="dxa"/>
          </w:tcPr>
          <w:p w14:paraId="3BB37146" w14:textId="77777777" w:rsidR="006435ED" w:rsidRPr="00AE2B70" w:rsidRDefault="006435ED" w:rsidP="00D308D9">
            <w:r w:rsidRPr="00AE2B70">
              <w:t>378</w:t>
            </w:r>
          </w:p>
        </w:tc>
      </w:tr>
    </w:tbl>
    <w:p w14:paraId="12849FF9" w14:textId="77777777" w:rsidR="006435ED" w:rsidRPr="00AE2B70" w:rsidRDefault="006435ED" w:rsidP="006435ED">
      <w:pPr>
        <w:rPr>
          <w:b/>
        </w:rPr>
      </w:pPr>
    </w:p>
    <w:p w14:paraId="04F9E0DD" w14:textId="77777777" w:rsidR="006435ED" w:rsidRPr="00AE2B70" w:rsidRDefault="006435ED" w:rsidP="006435ED">
      <w:pPr>
        <w:rPr>
          <w:b/>
        </w:rPr>
      </w:pPr>
      <w:r w:rsidRPr="00AE2B70">
        <w:rPr>
          <w:b/>
        </w:rPr>
        <w:t>Tables 1e: Yorkshire and the Humber Estimation Area</w:t>
      </w:r>
    </w:p>
    <w:tbl>
      <w:tblPr>
        <w:tblStyle w:val="TableGrid"/>
        <w:tblW w:w="0" w:type="auto"/>
        <w:tblLook w:val="04A0" w:firstRow="1" w:lastRow="0" w:firstColumn="1" w:lastColumn="0" w:noHBand="0" w:noVBand="1"/>
      </w:tblPr>
      <w:tblGrid>
        <w:gridCol w:w="2276"/>
        <w:gridCol w:w="2246"/>
        <w:gridCol w:w="2419"/>
        <w:gridCol w:w="2075"/>
      </w:tblGrid>
      <w:tr w:rsidR="006435ED" w:rsidRPr="00AE2B70" w14:paraId="329A3C6D" w14:textId="77777777" w:rsidTr="00D308D9">
        <w:tc>
          <w:tcPr>
            <w:tcW w:w="2276" w:type="dxa"/>
            <w:vMerge w:val="restart"/>
            <w:vAlign w:val="center"/>
          </w:tcPr>
          <w:p w14:paraId="013423C1" w14:textId="77777777" w:rsidR="006435ED" w:rsidRPr="00AE2B70" w:rsidRDefault="006435ED" w:rsidP="00D308D9">
            <w:r w:rsidRPr="00AE2B70">
              <w:t>Variable (number of categories)</w:t>
            </w:r>
          </w:p>
        </w:tc>
        <w:tc>
          <w:tcPr>
            <w:tcW w:w="6740" w:type="dxa"/>
            <w:gridSpan w:val="3"/>
          </w:tcPr>
          <w:p w14:paraId="484C4FB2" w14:textId="77777777" w:rsidR="006435ED" w:rsidRPr="00AE2B70" w:rsidRDefault="006435ED" w:rsidP="00D308D9">
            <w:pPr>
              <w:jc w:val="center"/>
            </w:pPr>
            <w:r w:rsidRPr="00AE2B70">
              <w:t>TAE</w:t>
            </w:r>
          </w:p>
        </w:tc>
      </w:tr>
      <w:tr w:rsidR="006435ED" w:rsidRPr="00AE2B70" w14:paraId="4CC0D63D" w14:textId="77777777" w:rsidTr="00D308D9">
        <w:tc>
          <w:tcPr>
            <w:tcW w:w="2276" w:type="dxa"/>
            <w:vMerge/>
          </w:tcPr>
          <w:p w14:paraId="620D01F4" w14:textId="77777777" w:rsidR="006435ED" w:rsidRPr="00AE2B70" w:rsidRDefault="006435ED" w:rsidP="00D308D9"/>
        </w:tc>
        <w:tc>
          <w:tcPr>
            <w:tcW w:w="2246" w:type="dxa"/>
          </w:tcPr>
          <w:p w14:paraId="2810DE1C" w14:textId="77777777" w:rsidR="006435ED" w:rsidRPr="00AE2B70" w:rsidRDefault="006435ED" w:rsidP="00D308D9">
            <w:r w:rsidRPr="00AE2B70">
              <w:t>CO for wholly missing households (average of 100 runs)</w:t>
            </w:r>
          </w:p>
        </w:tc>
        <w:tc>
          <w:tcPr>
            <w:tcW w:w="2419" w:type="dxa"/>
          </w:tcPr>
          <w:p w14:paraId="2A25A44D" w14:textId="77777777" w:rsidR="006435ED" w:rsidRPr="00AE2B70" w:rsidRDefault="006435ED" w:rsidP="00D308D9">
            <w:pPr>
              <w:rPr>
                <w:b/>
              </w:rPr>
            </w:pPr>
            <w:r w:rsidRPr="00AE2B70">
              <w:rPr>
                <w:b/>
              </w:rPr>
              <w:t>CO for whole adjustment process (average over 100 runs)</w:t>
            </w:r>
          </w:p>
        </w:tc>
        <w:tc>
          <w:tcPr>
            <w:tcW w:w="2075" w:type="dxa"/>
          </w:tcPr>
          <w:p w14:paraId="011CE66F" w14:textId="77777777" w:rsidR="006435ED" w:rsidRPr="00AE2B70" w:rsidRDefault="006435ED" w:rsidP="00D308D9">
            <w:r w:rsidRPr="00AE2B70">
              <w:t>2011 system</w:t>
            </w:r>
          </w:p>
        </w:tc>
      </w:tr>
      <w:tr w:rsidR="006435ED" w:rsidRPr="00AE2B70" w14:paraId="3DDE1240" w14:textId="77777777" w:rsidTr="00D308D9">
        <w:tc>
          <w:tcPr>
            <w:tcW w:w="2276" w:type="dxa"/>
          </w:tcPr>
          <w:p w14:paraId="1CE7B88E" w14:textId="77777777" w:rsidR="006435ED" w:rsidRPr="00AE2B70" w:rsidRDefault="006435ED" w:rsidP="00D308D9">
            <w:r w:rsidRPr="00AE2B70">
              <w:t>Age-Sex Group by LA (70)</w:t>
            </w:r>
          </w:p>
        </w:tc>
        <w:tc>
          <w:tcPr>
            <w:tcW w:w="2246" w:type="dxa"/>
          </w:tcPr>
          <w:p w14:paraId="009FEF17" w14:textId="77777777" w:rsidR="006435ED" w:rsidRPr="00AE2B70" w:rsidRDefault="006435ED" w:rsidP="00D308D9">
            <w:r w:rsidRPr="00AE2B70">
              <w:t>25</w:t>
            </w:r>
          </w:p>
        </w:tc>
        <w:tc>
          <w:tcPr>
            <w:tcW w:w="2419" w:type="dxa"/>
          </w:tcPr>
          <w:p w14:paraId="12A3EE1F" w14:textId="77777777" w:rsidR="006435ED" w:rsidRPr="00AE2B70" w:rsidRDefault="006435ED" w:rsidP="00D308D9">
            <w:pPr>
              <w:rPr>
                <w:b/>
              </w:rPr>
            </w:pPr>
            <w:r w:rsidRPr="00AE2B70">
              <w:rPr>
                <w:b/>
              </w:rPr>
              <w:t>6</w:t>
            </w:r>
          </w:p>
        </w:tc>
        <w:tc>
          <w:tcPr>
            <w:tcW w:w="2075" w:type="dxa"/>
          </w:tcPr>
          <w:p w14:paraId="35F2C78C" w14:textId="77777777" w:rsidR="006435ED" w:rsidRPr="00AE2B70" w:rsidRDefault="006435ED" w:rsidP="00D308D9">
            <w:r w:rsidRPr="00AE2B70">
              <w:t>310</w:t>
            </w:r>
          </w:p>
        </w:tc>
      </w:tr>
      <w:tr w:rsidR="006435ED" w:rsidRPr="00AE2B70" w14:paraId="7AEC6C53" w14:textId="77777777" w:rsidTr="00D308D9">
        <w:tc>
          <w:tcPr>
            <w:tcW w:w="2276" w:type="dxa"/>
          </w:tcPr>
          <w:p w14:paraId="0B6EEEE1" w14:textId="77777777" w:rsidR="006435ED" w:rsidRPr="00AE2B70" w:rsidRDefault="006435ED" w:rsidP="00D308D9">
            <w:r w:rsidRPr="00AE2B70">
              <w:t>Ethnicity (5)</w:t>
            </w:r>
          </w:p>
        </w:tc>
        <w:tc>
          <w:tcPr>
            <w:tcW w:w="2246" w:type="dxa"/>
          </w:tcPr>
          <w:p w14:paraId="39CEE81C" w14:textId="77777777" w:rsidR="006435ED" w:rsidRPr="00AE2B70" w:rsidRDefault="006435ED" w:rsidP="00D308D9">
            <w:r w:rsidRPr="00AE2B70">
              <w:t>0</w:t>
            </w:r>
          </w:p>
        </w:tc>
        <w:tc>
          <w:tcPr>
            <w:tcW w:w="2419" w:type="dxa"/>
          </w:tcPr>
          <w:p w14:paraId="51AB40C1" w14:textId="77777777" w:rsidR="006435ED" w:rsidRPr="00AE2B70" w:rsidRDefault="006435ED" w:rsidP="00D308D9">
            <w:pPr>
              <w:rPr>
                <w:b/>
              </w:rPr>
            </w:pPr>
            <w:r w:rsidRPr="00AE2B70">
              <w:rPr>
                <w:b/>
              </w:rPr>
              <w:t>0</w:t>
            </w:r>
          </w:p>
        </w:tc>
        <w:tc>
          <w:tcPr>
            <w:tcW w:w="2075" w:type="dxa"/>
          </w:tcPr>
          <w:p w14:paraId="31E00A00" w14:textId="77777777" w:rsidR="006435ED" w:rsidRPr="00AE2B70" w:rsidRDefault="006435ED" w:rsidP="00D308D9">
            <w:r w:rsidRPr="00AE2B70">
              <w:t>112</w:t>
            </w:r>
          </w:p>
        </w:tc>
      </w:tr>
      <w:tr w:rsidR="006435ED" w:rsidRPr="00AE2B70" w14:paraId="10FAB5B2" w14:textId="77777777" w:rsidTr="00D308D9">
        <w:tc>
          <w:tcPr>
            <w:tcW w:w="2276" w:type="dxa"/>
          </w:tcPr>
          <w:p w14:paraId="5B04B38C" w14:textId="77777777" w:rsidR="006435ED" w:rsidRPr="00AE2B70" w:rsidRDefault="006435ED" w:rsidP="00D308D9">
            <w:r w:rsidRPr="00AE2B70">
              <w:t>Activity Last Week (2)</w:t>
            </w:r>
          </w:p>
        </w:tc>
        <w:tc>
          <w:tcPr>
            <w:tcW w:w="2246" w:type="dxa"/>
          </w:tcPr>
          <w:p w14:paraId="5E68E463" w14:textId="77777777" w:rsidR="006435ED" w:rsidRPr="00AE2B70" w:rsidRDefault="006435ED" w:rsidP="00D308D9">
            <w:r w:rsidRPr="00AE2B70">
              <w:t>0</w:t>
            </w:r>
          </w:p>
        </w:tc>
        <w:tc>
          <w:tcPr>
            <w:tcW w:w="2419" w:type="dxa"/>
          </w:tcPr>
          <w:p w14:paraId="790EA4B2" w14:textId="77777777" w:rsidR="006435ED" w:rsidRPr="00AE2B70" w:rsidRDefault="006435ED" w:rsidP="00D308D9">
            <w:pPr>
              <w:rPr>
                <w:b/>
              </w:rPr>
            </w:pPr>
            <w:r w:rsidRPr="00AE2B70">
              <w:rPr>
                <w:b/>
              </w:rPr>
              <w:t>0</w:t>
            </w:r>
          </w:p>
        </w:tc>
        <w:tc>
          <w:tcPr>
            <w:tcW w:w="2075" w:type="dxa"/>
          </w:tcPr>
          <w:p w14:paraId="41D12EBC" w14:textId="77777777" w:rsidR="006435ED" w:rsidRPr="00AE2B70" w:rsidRDefault="006435ED" w:rsidP="00D308D9">
            <w:r w:rsidRPr="00AE2B70">
              <w:t>860</w:t>
            </w:r>
          </w:p>
        </w:tc>
      </w:tr>
      <w:tr w:rsidR="006435ED" w:rsidRPr="00AE2B70" w14:paraId="165BC559" w14:textId="77777777" w:rsidTr="00D308D9">
        <w:tc>
          <w:tcPr>
            <w:tcW w:w="2276" w:type="dxa"/>
          </w:tcPr>
          <w:p w14:paraId="7D192781" w14:textId="77777777" w:rsidR="006435ED" w:rsidRPr="00AE2B70" w:rsidRDefault="006435ED" w:rsidP="00D308D9">
            <w:r w:rsidRPr="00AE2B70">
              <w:t>Household size (3)</w:t>
            </w:r>
          </w:p>
        </w:tc>
        <w:tc>
          <w:tcPr>
            <w:tcW w:w="2246" w:type="dxa"/>
          </w:tcPr>
          <w:p w14:paraId="490D88C2" w14:textId="77777777" w:rsidR="006435ED" w:rsidRPr="00AE2B70" w:rsidRDefault="006435ED" w:rsidP="00D308D9">
            <w:r w:rsidRPr="00AE2B70">
              <w:t>0</w:t>
            </w:r>
          </w:p>
        </w:tc>
        <w:tc>
          <w:tcPr>
            <w:tcW w:w="2419" w:type="dxa"/>
          </w:tcPr>
          <w:p w14:paraId="27444EEC" w14:textId="77777777" w:rsidR="006435ED" w:rsidRPr="00AE2B70" w:rsidRDefault="006435ED" w:rsidP="00D308D9">
            <w:pPr>
              <w:rPr>
                <w:b/>
              </w:rPr>
            </w:pPr>
            <w:r w:rsidRPr="00AE2B70">
              <w:rPr>
                <w:b/>
              </w:rPr>
              <w:t>0</w:t>
            </w:r>
          </w:p>
        </w:tc>
        <w:tc>
          <w:tcPr>
            <w:tcW w:w="2075" w:type="dxa"/>
          </w:tcPr>
          <w:p w14:paraId="0294826A" w14:textId="77777777" w:rsidR="006435ED" w:rsidRPr="00AE2B70" w:rsidRDefault="006435ED" w:rsidP="00D308D9">
            <w:r w:rsidRPr="00AE2B70">
              <w:t>475</w:t>
            </w:r>
          </w:p>
        </w:tc>
      </w:tr>
      <w:tr w:rsidR="006435ED" w:rsidRPr="00AE2B70" w14:paraId="222BA2D7" w14:textId="77777777" w:rsidTr="00D308D9">
        <w:tc>
          <w:tcPr>
            <w:tcW w:w="2276" w:type="dxa"/>
          </w:tcPr>
          <w:p w14:paraId="59AE9A96" w14:textId="77777777" w:rsidR="006435ED" w:rsidRPr="00AE2B70" w:rsidRDefault="006435ED" w:rsidP="00D308D9">
            <w:r w:rsidRPr="00AE2B70">
              <w:t>Hard to Count Index (2)</w:t>
            </w:r>
          </w:p>
        </w:tc>
        <w:tc>
          <w:tcPr>
            <w:tcW w:w="2246" w:type="dxa"/>
          </w:tcPr>
          <w:p w14:paraId="1A6D4044" w14:textId="77777777" w:rsidR="006435ED" w:rsidRPr="00AE2B70" w:rsidRDefault="006435ED" w:rsidP="00D308D9">
            <w:r w:rsidRPr="00AE2B70">
              <w:t>0</w:t>
            </w:r>
          </w:p>
        </w:tc>
        <w:tc>
          <w:tcPr>
            <w:tcW w:w="2419" w:type="dxa"/>
          </w:tcPr>
          <w:p w14:paraId="6C472706" w14:textId="77777777" w:rsidR="006435ED" w:rsidRPr="00AE2B70" w:rsidRDefault="006435ED" w:rsidP="00D308D9">
            <w:pPr>
              <w:rPr>
                <w:b/>
              </w:rPr>
            </w:pPr>
            <w:r w:rsidRPr="00AE2B70">
              <w:rPr>
                <w:b/>
              </w:rPr>
              <w:t>0</w:t>
            </w:r>
          </w:p>
        </w:tc>
        <w:tc>
          <w:tcPr>
            <w:tcW w:w="2075" w:type="dxa"/>
          </w:tcPr>
          <w:p w14:paraId="00B10579" w14:textId="77777777" w:rsidR="006435ED" w:rsidRPr="00AE2B70" w:rsidRDefault="006435ED" w:rsidP="00D308D9">
            <w:r w:rsidRPr="00AE2B70">
              <w:t>5</w:t>
            </w:r>
          </w:p>
        </w:tc>
      </w:tr>
    </w:tbl>
    <w:p w14:paraId="7F12C834" w14:textId="77777777" w:rsidR="006435ED" w:rsidRPr="00AE2B70" w:rsidRDefault="006435ED" w:rsidP="006435ED"/>
    <w:p w14:paraId="0E975DC7" w14:textId="77777777" w:rsidR="006435ED" w:rsidRDefault="006435ED" w:rsidP="006435ED"/>
    <w:p w14:paraId="5FF5664B" w14:textId="77777777" w:rsidR="006435ED" w:rsidRDefault="006435ED" w:rsidP="006435ED"/>
    <w:p w14:paraId="646244A1" w14:textId="77777777" w:rsidR="006435ED" w:rsidRPr="00AE2B70" w:rsidRDefault="006435ED" w:rsidP="006435ED">
      <w:r w:rsidRPr="00AE2B70">
        <w:lastRenderedPageBreak/>
        <w:t>Notes/Comments:</w:t>
      </w:r>
    </w:p>
    <w:p w14:paraId="28EFB838" w14:textId="77777777" w:rsidR="006435ED" w:rsidRPr="00AE2B70" w:rsidRDefault="006435ED" w:rsidP="006435ED">
      <w:r w:rsidRPr="00AE2B70">
        <w:t xml:space="preserve">The TAE = Total Absolute Error which is the sum of the absolute differences between the observed counts and the expected (benchmark) counts for a given variable across each category. </w:t>
      </w:r>
    </w:p>
    <w:p w14:paraId="0F7B0D1F" w14:textId="77777777" w:rsidR="006435ED" w:rsidRPr="00AE2B70" w:rsidRDefault="006435ED" w:rsidP="006435ED">
      <w:r w:rsidRPr="00AE2B70">
        <w:t xml:space="preserve">In </w:t>
      </w:r>
      <w:r w:rsidRPr="00AE2B70">
        <w:rPr>
          <w:sz w:val="24"/>
          <w:szCs w:val="24"/>
        </w:rPr>
        <w:t>Oguz, S and Abbott, O., (2016) the</w:t>
      </w:r>
      <w:r w:rsidRPr="00AE2B70">
        <w:t xml:space="preserve"> focus is on running CO for the wholly missing households only and comparison of the results to the 2011 system. </w:t>
      </w:r>
    </w:p>
    <w:p w14:paraId="7EB30A64" w14:textId="77777777" w:rsidR="006435ED" w:rsidRPr="00AE2B70" w:rsidRDefault="006435ED" w:rsidP="006435ED">
      <w:pPr>
        <w:rPr>
          <w:b/>
        </w:rPr>
      </w:pPr>
      <w:r w:rsidRPr="00AE2B70">
        <w:rPr>
          <w:b/>
        </w:rPr>
        <w:t>Table 2 Table showing total census counts before during and after coverage adjustment</w:t>
      </w:r>
    </w:p>
    <w:tbl>
      <w:tblPr>
        <w:tblStyle w:val="TableGrid"/>
        <w:tblW w:w="0" w:type="auto"/>
        <w:tblLook w:val="04A0" w:firstRow="1" w:lastRow="0" w:firstColumn="1" w:lastColumn="0" w:noHBand="0" w:noVBand="1"/>
      </w:tblPr>
      <w:tblGrid>
        <w:gridCol w:w="1379"/>
        <w:gridCol w:w="1247"/>
        <w:gridCol w:w="1445"/>
        <w:gridCol w:w="1442"/>
        <w:gridCol w:w="1178"/>
        <w:gridCol w:w="1377"/>
        <w:gridCol w:w="1282"/>
      </w:tblGrid>
      <w:tr w:rsidR="006435ED" w:rsidRPr="00AE2B70" w14:paraId="7111BC4D" w14:textId="77777777" w:rsidTr="00D308D9">
        <w:tc>
          <w:tcPr>
            <w:tcW w:w="1379" w:type="dxa"/>
          </w:tcPr>
          <w:p w14:paraId="35A29E02" w14:textId="77777777" w:rsidR="006435ED" w:rsidRPr="00AE2B70" w:rsidRDefault="006435ED" w:rsidP="00D308D9">
            <w:r w:rsidRPr="00AE2B70">
              <w:br w:type="page"/>
              <w:t>Estimation area</w:t>
            </w:r>
          </w:p>
        </w:tc>
        <w:tc>
          <w:tcPr>
            <w:tcW w:w="1247" w:type="dxa"/>
          </w:tcPr>
          <w:p w14:paraId="3A9479FC" w14:textId="77777777" w:rsidR="006435ED" w:rsidRPr="00AE2B70" w:rsidRDefault="006435ED" w:rsidP="00D308D9">
            <w:r w:rsidRPr="00AE2B70">
              <w:t xml:space="preserve">Unadjusted </w:t>
            </w:r>
            <w:r>
              <w:t>c</w:t>
            </w:r>
            <w:r w:rsidRPr="00AE2B70">
              <w:t>ensus database number of households</w:t>
            </w:r>
          </w:p>
        </w:tc>
        <w:tc>
          <w:tcPr>
            <w:tcW w:w="1445" w:type="dxa"/>
          </w:tcPr>
          <w:p w14:paraId="6D18886B" w14:textId="77777777" w:rsidR="006435ED" w:rsidRPr="00AE2B70" w:rsidRDefault="006435ED" w:rsidP="00D308D9">
            <w:r w:rsidRPr="00AE2B70">
              <w:t>Unadjusted census database total people</w:t>
            </w:r>
          </w:p>
        </w:tc>
        <w:tc>
          <w:tcPr>
            <w:tcW w:w="1442" w:type="dxa"/>
          </w:tcPr>
          <w:p w14:paraId="613662D6" w14:textId="77777777" w:rsidR="006435ED" w:rsidRPr="00AE2B70" w:rsidRDefault="006435ED" w:rsidP="00D308D9">
            <w:r w:rsidRPr="00AE2B70">
              <w:t>Census database after people missed in counted households imputed, total people</w:t>
            </w:r>
          </w:p>
        </w:tc>
        <w:tc>
          <w:tcPr>
            <w:tcW w:w="1178" w:type="dxa"/>
          </w:tcPr>
          <w:p w14:paraId="7E7A9038" w14:textId="77777777" w:rsidR="006435ED" w:rsidRPr="00AE2B70" w:rsidRDefault="006435ED" w:rsidP="00D308D9">
            <w:r w:rsidRPr="00AE2B70">
              <w:t>Household shortfall</w:t>
            </w:r>
          </w:p>
        </w:tc>
        <w:tc>
          <w:tcPr>
            <w:tcW w:w="1377" w:type="dxa"/>
          </w:tcPr>
          <w:p w14:paraId="3EFBA470" w14:textId="77777777" w:rsidR="006435ED" w:rsidRPr="00AE2B70" w:rsidRDefault="006435ED" w:rsidP="00D308D9">
            <w:r w:rsidRPr="00AE2B70">
              <w:t>Unadjusted census database shortfall for number of one person households</w:t>
            </w:r>
          </w:p>
        </w:tc>
        <w:tc>
          <w:tcPr>
            <w:tcW w:w="1282" w:type="dxa"/>
          </w:tcPr>
          <w:p w14:paraId="56E02C56" w14:textId="77777777" w:rsidR="006435ED" w:rsidRPr="00AE2B70" w:rsidRDefault="006435ED" w:rsidP="00D308D9">
            <w:r w:rsidRPr="00AE2B70">
              <w:t>Census database after people missed in counted households imputed, shortfall for number of one person households</w:t>
            </w:r>
          </w:p>
        </w:tc>
      </w:tr>
      <w:tr w:rsidR="006435ED" w:rsidRPr="00AE2B70" w14:paraId="77A28C4B" w14:textId="77777777" w:rsidTr="00D308D9">
        <w:tc>
          <w:tcPr>
            <w:tcW w:w="1379" w:type="dxa"/>
          </w:tcPr>
          <w:p w14:paraId="5071C6BD" w14:textId="77777777" w:rsidR="006435ED" w:rsidRPr="00AE2B70" w:rsidRDefault="006435ED" w:rsidP="00D308D9">
            <w:r w:rsidRPr="00AE2B70">
              <w:t>East Midlands</w:t>
            </w:r>
          </w:p>
        </w:tc>
        <w:tc>
          <w:tcPr>
            <w:tcW w:w="1247" w:type="dxa"/>
          </w:tcPr>
          <w:p w14:paraId="37E228BD" w14:textId="77777777" w:rsidR="006435ED" w:rsidRPr="00AE2B70" w:rsidRDefault="006435ED" w:rsidP="00D308D9">
            <w:r w:rsidRPr="00AE2B70">
              <w:t>274,521</w:t>
            </w:r>
          </w:p>
        </w:tc>
        <w:tc>
          <w:tcPr>
            <w:tcW w:w="1445" w:type="dxa"/>
          </w:tcPr>
          <w:p w14:paraId="7A419999" w14:textId="77777777" w:rsidR="006435ED" w:rsidRPr="00AE2B70" w:rsidRDefault="006435ED" w:rsidP="00D308D9">
            <w:r w:rsidRPr="00AE2B70">
              <w:t>624,701</w:t>
            </w:r>
          </w:p>
        </w:tc>
        <w:tc>
          <w:tcPr>
            <w:tcW w:w="1442" w:type="dxa"/>
          </w:tcPr>
          <w:p w14:paraId="41AE729A" w14:textId="77777777" w:rsidR="006435ED" w:rsidRPr="00AE2B70" w:rsidRDefault="006435ED" w:rsidP="00D308D9">
            <w:r w:rsidRPr="00AE2B70">
              <w:t>633,305</w:t>
            </w:r>
          </w:p>
        </w:tc>
        <w:tc>
          <w:tcPr>
            <w:tcW w:w="1178" w:type="dxa"/>
          </w:tcPr>
          <w:p w14:paraId="5C6F46B3" w14:textId="77777777" w:rsidR="006435ED" w:rsidRPr="00AE2B70" w:rsidRDefault="006435ED" w:rsidP="00D308D9">
            <w:r w:rsidRPr="00AE2B70">
              <w:t>9441</w:t>
            </w:r>
          </w:p>
        </w:tc>
        <w:tc>
          <w:tcPr>
            <w:tcW w:w="1377" w:type="dxa"/>
          </w:tcPr>
          <w:p w14:paraId="33F8292E" w14:textId="77777777" w:rsidR="006435ED" w:rsidRPr="00AE2B70" w:rsidRDefault="006435ED" w:rsidP="00D308D9">
            <w:r w:rsidRPr="00AE2B70">
              <w:t>1946</w:t>
            </w:r>
          </w:p>
        </w:tc>
        <w:tc>
          <w:tcPr>
            <w:tcW w:w="1282" w:type="dxa"/>
          </w:tcPr>
          <w:p w14:paraId="52508F9E" w14:textId="77777777" w:rsidR="006435ED" w:rsidRPr="00AE2B70" w:rsidRDefault="006435ED" w:rsidP="00D308D9">
            <w:r w:rsidRPr="00AE2B70">
              <w:t>5056</w:t>
            </w:r>
          </w:p>
        </w:tc>
      </w:tr>
      <w:tr w:rsidR="006435ED" w:rsidRPr="00AE2B70" w14:paraId="78E9B4BC" w14:textId="77777777" w:rsidTr="00D308D9">
        <w:tc>
          <w:tcPr>
            <w:tcW w:w="1379" w:type="dxa"/>
          </w:tcPr>
          <w:p w14:paraId="31ED08AA" w14:textId="77777777" w:rsidR="006435ED" w:rsidRPr="00AE2B70" w:rsidRDefault="006435ED" w:rsidP="00D308D9">
            <w:r w:rsidRPr="00AE2B70">
              <w:t>Inner London</w:t>
            </w:r>
          </w:p>
        </w:tc>
        <w:tc>
          <w:tcPr>
            <w:tcW w:w="1247" w:type="dxa"/>
          </w:tcPr>
          <w:p w14:paraId="6D723F7E" w14:textId="77777777" w:rsidR="006435ED" w:rsidRPr="00AE2B70" w:rsidRDefault="006435ED" w:rsidP="00D308D9">
            <w:r w:rsidRPr="00AE2B70">
              <w:t>94,600</w:t>
            </w:r>
          </w:p>
        </w:tc>
        <w:tc>
          <w:tcPr>
            <w:tcW w:w="1445" w:type="dxa"/>
          </w:tcPr>
          <w:p w14:paraId="52FAA787" w14:textId="77777777" w:rsidR="006435ED" w:rsidRPr="00AE2B70" w:rsidRDefault="006435ED" w:rsidP="00D308D9">
            <w:r w:rsidRPr="00AE2B70">
              <w:t>228,172</w:t>
            </w:r>
          </w:p>
        </w:tc>
        <w:tc>
          <w:tcPr>
            <w:tcW w:w="1442" w:type="dxa"/>
          </w:tcPr>
          <w:p w14:paraId="74F9CF77" w14:textId="77777777" w:rsidR="006435ED" w:rsidRPr="00AE2B70" w:rsidRDefault="006435ED" w:rsidP="00D308D9">
            <w:r w:rsidRPr="00AE2B70">
              <w:t>236,619</w:t>
            </w:r>
          </w:p>
        </w:tc>
        <w:tc>
          <w:tcPr>
            <w:tcW w:w="1178" w:type="dxa"/>
          </w:tcPr>
          <w:p w14:paraId="2E98F7E0" w14:textId="77777777" w:rsidR="006435ED" w:rsidRPr="00AE2B70" w:rsidRDefault="006435ED" w:rsidP="00D308D9">
            <w:r w:rsidRPr="00AE2B70">
              <w:t>6608</w:t>
            </w:r>
          </w:p>
        </w:tc>
        <w:tc>
          <w:tcPr>
            <w:tcW w:w="1377" w:type="dxa"/>
          </w:tcPr>
          <w:p w14:paraId="3D6A18BA" w14:textId="77777777" w:rsidR="006435ED" w:rsidRPr="00AE2B70" w:rsidRDefault="006435ED" w:rsidP="00D308D9">
            <w:r w:rsidRPr="00AE2B70">
              <w:t>1730</w:t>
            </w:r>
          </w:p>
        </w:tc>
        <w:tc>
          <w:tcPr>
            <w:tcW w:w="1282" w:type="dxa"/>
          </w:tcPr>
          <w:p w14:paraId="2A4374EF" w14:textId="77777777" w:rsidR="006435ED" w:rsidRPr="00AE2B70" w:rsidRDefault="006435ED" w:rsidP="00D308D9">
            <w:r w:rsidRPr="00AE2B70">
              <w:t>4171</w:t>
            </w:r>
          </w:p>
        </w:tc>
      </w:tr>
      <w:tr w:rsidR="006435ED" w:rsidRPr="00AE2B70" w14:paraId="41009771" w14:textId="77777777" w:rsidTr="00D308D9">
        <w:tc>
          <w:tcPr>
            <w:tcW w:w="1379" w:type="dxa"/>
          </w:tcPr>
          <w:p w14:paraId="38C78E2D" w14:textId="77777777" w:rsidR="006435ED" w:rsidRPr="00AE2B70" w:rsidRDefault="006435ED" w:rsidP="00D308D9">
            <w:r w:rsidRPr="00AE2B70">
              <w:t>Outer London</w:t>
            </w:r>
          </w:p>
        </w:tc>
        <w:tc>
          <w:tcPr>
            <w:tcW w:w="1247" w:type="dxa"/>
          </w:tcPr>
          <w:p w14:paraId="5AA6342E" w14:textId="77777777" w:rsidR="006435ED" w:rsidRPr="00AE2B70" w:rsidRDefault="006435ED" w:rsidP="00D308D9">
            <w:r w:rsidRPr="00AE2B70">
              <w:t>89,925</w:t>
            </w:r>
          </w:p>
        </w:tc>
        <w:tc>
          <w:tcPr>
            <w:tcW w:w="1445" w:type="dxa"/>
          </w:tcPr>
          <w:p w14:paraId="352CAEC4" w14:textId="77777777" w:rsidR="006435ED" w:rsidRPr="00AE2B70" w:rsidRDefault="006435ED" w:rsidP="00D308D9">
            <w:r w:rsidRPr="00AE2B70">
              <w:t>232,165</w:t>
            </w:r>
          </w:p>
        </w:tc>
        <w:tc>
          <w:tcPr>
            <w:tcW w:w="1442" w:type="dxa"/>
          </w:tcPr>
          <w:p w14:paraId="0E3957D1" w14:textId="77777777" w:rsidR="006435ED" w:rsidRPr="00AE2B70" w:rsidRDefault="006435ED" w:rsidP="00D308D9">
            <w:r w:rsidRPr="00AE2B70">
              <w:t>242,414</w:t>
            </w:r>
          </w:p>
        </w:tc>
        <w:tc>
          <w:tcPr>
            <w:tcW w:w="1178" w:type="dxa"/>
          </w:tcPr>
          <w:p w14:paraId="48EAB2C2" w14:textId="77777777" w:rsidR="006435ED" w:rsidRPr="00AE2B70" w:rsidRDefault="006435ED" w:rsidP="00D308D9">
            <w:r w:rsidRPr="00AE2B70">
              <w:t>6994</w:t>
            </w:r>
          </w:p>
        </w:tc>
        <w:tc>
          <w:tcPr>
            <w:tcW w:w="1377" w:type="dxa"/>
          </w:tcPr>
          <w:p w14:paraId="6ED8A167" w14:textId="77777777" w:rsidR="006435ED" w:rsidRPr="00AE2B70" w:rsidRDefault="006435ED" w:rsidP="00D308D9">
            <w:r w:rsidRPr="00AE2B70">
              <w:t>1949</w:t>
            </w:r>
          </w:p>
        </w:tc>
        <w:tc>
          <w:tcPr>
            <w:tcW w:w="1282" w:type="dxa"/>
          </w:tcPr>
          <w:p w14:paraId="07B4DFF6" w14:textId="77777777" w:rsidR="006435ED" w:rsidRPr="00AE2B70" w:rsidRDefault="006435ED" w:rsidP="00D308D9">
            <w:r w:rsidRPr="00AE2B70">
              <w:t>4446</w:t>
            </w:r>
          </w:p>
        </w:tc>
      </w:tr>
      <w:tr w:rsidR="006435ED" w:rsidRPr="00AE2B70" w14:paraId="6BA91590" w14:textId="77777777" w:rsidTr="00D308D9">
        <w:tc>
          <w:tcPr>
            <w:tcW w:w="1379" w:type="dxa"/>
          </w:tcPr>
          <w:p w14:paraId="4EBE90EF" w14:textId="77777777" w:rsidR="006435ED" w:rsidRPr="00AE2B70" w:rsidRDefault="006435ED" w:rsidP="00D308D9">
            <w:r w:rsidRPr="00AE2B70">
              <w:t>South West</w:t>
            </w:r>
          </w:p>
        </w:tc>
        <w:tc>
          <w:tcPr>
            <w:tcW w:w="1247" w:type="dxa"/>
          </w:tcPr>
          <w:p w14:paraId="7FCAF437" w14:textId="77777777" w:rsidR="006435ED" w:rsidRPr="00AE2B70" w:rsidRDefault="006435ED" w:rsidP="00D308D9">
            <w:r w:rsidRPr="00AE2B70">
              <w:t>309,254</w:t>
            </w:r>
          </w:p>
        </w:tc>
        <w:tc>
          <w:tcPr>
            <w:tcW w:w="1445" w:type="dxa"/>
          </w:tcPr>
          <w:p w14:paraId="2807E88E" w14:textId="77777777" w:rsidR="006435ED" w:rsidRPr="00AE2B70" w:rsidRDefault="006435ED" w:rsidP="00D308D9">
            <w:r w:rsidRPr="00AE2B70">
              <w:t>700,181</w:t>
            </w:r>
          </w:p>
        </w:tc>
        <w:tc>
          <w:tcPr>
            <w:tcW w:w="1442" w:type="dxa"/>
          </w:tcPr>
          <w:p w14:paraId="52714BC1" w14:textId="77777777" w:rsidR="006435ED" w:rsidRPr="00AE2B70" w:rsidRDefault="006435ED" w:rsidP="00D308D9">
            <w:r w:rsidRPr="00AE2B70">
              <w:t>705,746</w:t>
            </w:r>
          </w:p>
        </w:tc>
        <w:tc>
          <w:tcPr>
            <w:tcW w:w="1178" w:type="dxa"/>
          </w:tcPr>
          <w:p w14:paraId="5F73FF7B" w14:textId="77777777" w:rsidR="006435ED" w:rsidRPr="00AE2B70" w:rsidRDefault="006435ED" w:rsidP="00D308D9">
            <w:r w:rsidRPr="00AE2B70">
              <w:t>9607</w:t>
            </w:r>
          </w:p>
        </w:tc>
        <w:tc>
          <w:tcPr>
            <w:tcW w:w="1377" w:type="dxa"/>
          </w:tcPr>
          <w:p w14:paraId="001CFFC2" w14:textId="77777777" w:rsidR="006435ED" w:rsidRPr="00AE2B70" w:rsidRDefault="006435ED" w:rsidP="00D308D9">
            <w:r w:rsidRPr="00AE2B70">
              <w:t>2605</w:t>
            </w:r>
          </w:p>
        </w:tc>
        <w:tc>
          <w:tcPr>
            <w:tcW w:w="1282" w:type="dxa"/>
          </w:tcPr>
          <w:p w14:paraId="738C626E" w14:textId="77777777" w:rsidR="006435ED" w:rsidRPr="00AE2B70" w:rsidRDefault="006435ED" w:rsidP="00D308D9">
            <w:r w:rsidRPr="00AE2B70">
              <w:t>4420</w:t>
            </w:r>
          </w:p>
        </w:tc>
      </w:tr>
      <w:tr w:rsidR="006435ED" w:rsidRPr="00AE2B70" w14:paraId="67AE14C4" w14:textId="77777777" w:rsidTr="00D308D9">
        <w:tc>
          <w:tcPr>
            <w:tcW w:w="1379" w:type="dxa"/>
          </w:tcPr>
          <w:p w14:paraId="50AD2A6D" w14:textId="77777777" w:rsidR="006435ED" w:rsidRPr="00AE2B70" w:rsidRDefault="006435ED" w:rsidP="00D308D9">
            <w:r w:rsidRPr="00AE2B70">
              <w:t>Yorkshire and the Humber</w:t>
            </w:r>
          </w:p>
        </w:tc>
        <w:tc>
          <w:tcPr>
            <w:tcW w:w="1247" w:type="dxa"/>
          </w:tcPr>
          <w:p w14:paraId="1E416DD8" w14:textId="77777777" w:rsidR="006435ED" w:rsidRPr="00AE2B70" w:rsidRDefault="006435ED" w:rsidP="00D308D9">
            <w:r w:rsidRPr="00AE2B70">
              <w:t>242,987</w:t>
            </w:r>
          </w:p>
        </w:tc>
        <w:tc>
          <w:tcPr>
            <w:tcW w:w="1445" w:type="dxa"/>
          </w:tcPr>
          <w:p w14:paraId="4F1FAD91" w14:textId="77777777" w:rsidR="006435ED" w:rsidRPr="00AE2B70" w:rsidRDefault="006435ED" w:rsidP="00D308D9">
            <w:r w:rsidRPr="00AE2B70">
              <w:t>550,208</w:t>
            </w:r>
          </w:p>
        </w:tc>
        <w:tc>
          <w:tcPr>
            <w:tcW w:w="1442" w:type="dxa"/>
          </w:tcPr>
          <w:p w14:paraId="0D527310" w14:textId="77777777" w:rsidR="006435ED" w:rsidRPr="00AE2B70" w:rsidRDefault="006435ED" w:rsidP="00D308D9">
            <w:r w:rsidRPr="00AE2B70">
              <w:t>562,343</w:t>
            </w:r>
          </w:p>
        </w:tc>
        <w:tc>
          <w:tcPr>
            <w:tcW w:w="1178" w:type="dxa"/>
          </w:tcPr>
          <w:p w14:paraId="2F14E90E" w14:textId="77777777" w:rsidR="006435ED" w:rsidRPr="00AE2B70" w:rsidRDefault="006435ED" w:rsidP="00D308D9">
            <w:r w:rsidRPr="00AE2B70">
              <w:t>12858</w:t>
            </w:r>
          </w:p>
        </w:tc>
        <w:tc>
          <w:tcPr>
            <w:tcW w:w="1377" w:type="dxa"/>
          </w:tcPr>
          <w:p w14:paraId="503D996C" w14:textId="77777777" w:rsidR="006435ED" w:rsidRPr="00AE2B70" w:rsidRDefault="006435ED" w:rsidP="00D308D9">
            <w:r w:rsidRPr="00AE2B70">
              <w:t>4434</w:t>
            </w:r>
          </w:p>
        </w:tc>
        <w:tc>
          <w:tcPr>
            <w:tcW w:w="1282" w:type="dxa"/>
          </w:tcPr>
          <w:p w14:paraId="6633AE2E" w14:textId="77777777" w:rsidR="006435ED" w:rsidRPr="00AE2B70" w:rsidRDefault="006435ED" w:rsidP="00D308D9">
            <w:r w:rsidRPr="00AE2B70">
              <w:t>9727</w:t>
            </w:r>
          </w:p>
        </w:tc>
      </w:tr>
    </w:tbl>
    <w:p w14:paraId="1C5F9F49" w14:textId="77777777" w:rsidR="006435ED" w:rsidRPr="00AE2B70" w:rsidRDefault="006435ED" w:rsidP="006435ED">
      <w:pPr>
        <w:rPr>
          <w:sz w:val="24"/>
          <w:szCs w:val="24"/>
        </w:rPr>
      </w:pPr>
      <w:r w:rsidRPr="00AE2B70">
        <w:rPr>
          <w:sz w:val="24"/>
          <w:szCs w:val="24"/>
        </w:rPr>
        <w:t>Note: Communal establishments are not included in the above table, these were imputed separately at a later stage.</w:t>
      </w:r>
    </w:p>
    <w:p w14:paraId="1B6E8592" w14:textId="77777777" w:rsidR="006435ED" w:rsidRPr="00AE2B70" w:rsidRDefault="006435ED" w:rsidP="006435ED">
      <w:pPr>
        <w:rPr>
          <w:sz w:val="24"/>
          <w:szCs w:val="24"/>
        </w:rPr>
      </w:pPr>
    </w:p>
    <w:p w14:paraId="451DB9BC" w14:textId="77777777" w:rsidR="004F78BA" w:rsidRPr="006435ED" w:rsidRDefault="004F78BA" w:rsidP="006435ED">
      <w:bookmarkStart w:id="3" w:name="_GoBack"/>
      <w:bookmarkEnd w:id="3"/>
    </w:p>
    <w:sectPr w:rsidR="004F78BA" w:rsidRPr="006435ED" w:rsidSect="003E41C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74A0" w14:textId="77777777" w:rsidR="00315FE6" w:rsidRDefault="00315FE6" w:rsidP="00E72C19">
      <w:pPr>
        <w:spacing w:after="0" w:line="240" w:lineRule="auto"/>
      </w:pPr>
      <w:r>
        <w:separator/>
      </w:r>
    </w:p>
  </w:endnote>
  <w:endnote w:type="continuationSeparator" w:id="0">
    <w:p w14:paraId="20D75CC0" w14:textId="77777777" w:rsidR="00315FE6" w:rsidRDefault="00315FE6" w:rsidP="00E7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alat-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7D16" w14:textId="77777777" w:rsidR="00315FE6" w:rsidRDefault="0031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CF6F" w14:textId="77777777" w:rsidR="00315FE6" w:rsidRDefault="0031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ED95" w14:textId="77777777" w:rsidR="00315FE6" w:rsidRDefault="0031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89A2" w14:textId="77777777" w:rsidR="00315FE6" w:rsidRDefault="00315FE6" w:rsidP="00E72C19">
      <w:pPr>
        <w:spacing w:after="0" w:line="240" w:lineRule="auto"/>
      </w:pPr>
      <w:r>
        <w:separator/>
      </w:r>
    </w:p>
  </w:footnote>
  <w:footnote w:type="continuationSeparator" w:id="0">
    <w:p w14:paraId="594F3915" w14:textId="77777777" w:rsidR="00315FE6" w:rsidRDefault="00315FE6" w:rsidP="00E7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7C66D" w14:textId="5535CF39" w:rsidR="00315FE6" w:rsidRDefault="0031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561F" w14:textId="0C5BB0BA" w:rsidR="00315FE6" w:rsidRDefault="0031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370" w14:textId="72E84F44" w:rsidR="00315FE6" w:rsidRDefault="0031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38E"/>
    <w:multiLevelType w:val="hybridMultilevel"/>
    <w:tmpl w:val="080E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D7B"/>
    <w:multiLevelType w:val="hybridMultilevel"/>
    <w:tmpl w:val="CF94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61D16"/>
    <w:multiLevelType w:val="multilevel"/>
    <w:tmpl w:val="1AA8F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C967D69"/>
    <w:multiLevelType w:val="hybridMultilevel"/>
    <w:tmpl w:val="AF583B48"/>
    <w:lvl w:ilvl="0" w:tplc="26284084">
      <w:start w:val="1"/>
      <w:numFmt w:val="decimal"/>
      <w:lvlText w:val="%1)"/>
      <w:lvlJc w:val="left"/>
      <w:pPr>
        <w:ind w:left="720" w:hanging="360"/>
      </w:pPr>
      <w:rPr>
        <w:rFonts w:asciiTheme="minorHAnsi" w:eastAsiaTheme="minorEastAsia" w:hAnsi="Calibri" w:cstheme="minorBidi"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B1558"/>
    <w:multiLevelType w:val="hybridMultilevel"/>
    <w:tmpl w:val="9E162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44254"/>
    <w:multiLevelType w:val="hybridMultilevel"/>
    <w:tmpl w:val="24B0BCC2"/>
    <w:lvl w:ilvl="0" w:tplc="F4A05DCE">
      <w:start w:val="1"/>
      <w:numFmt w:val="decimal"/>
      <w:lvlText w:val="%1"/>
      <w:lvlJc w:val="left"/>
      <w:pPr>
        <w:ind w:left="720" w:hanging="360"/>
      </w:pPr>
      <w:rPr>
        <w:rFonts w:eastAsiaTheme="minorEastAsia" w:hAnsi="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63974"/>
    <w:multiLevelType w:val="hybridMultilevel"/>
    <w:tmpl w:val="FBCAF968"/>
    <w:lvl w:ilvl="0" w:tplc="9FA4EACA">
      <w:start w:val="1"/>
      <w:numFmt w:val="decimal"/>
      <w:lvlText w:val="%1)"/>
      <w:lvlJc w:val="left"/>
      <w:pPr>
        <w:ind w:left="1080" w:hanging="360"/>
      </w:pPr>
      <w:rPr>
        <w:rFonts w:asciiTheme="minorHAnsi" w:eastAsiaTheme="minorEastAsia"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CE5C35"/>
    <w:multiLevelType w:val="hybridMultilevel"/>
    <w:tmpl w:val="046027B2"/>
    <w:lvl w:ilvl="0" w:tplc="6DB8AAC2">
      <w:start w:val="2"/>
      <w:numFmt w:val="lowerRoman"/>
      <w:lvlText w:val="%1)"/>
      <w:lvlJc w:val="left"/>
      <w:pPr>
        <w:tabs>
          <w:tab w:val="num" w:pos="720"/>
        </w:tabs>
        <w:ind w:left="720" w:hanging="360"/>
      </w:pPr>
      <w:rPr>
        <w:rFonts w:hint="default"/>
        <w:b w:val="0"/>
      </w:rPr>
    </w:lvl>
    <w:lvl w:ilvl="1" w:tplc="6BDAFD9C">
      <w:start w:val="1"/>
      <w:numFmt w:val="decimal"/>
      <w:lvlText w:val="%2."/>
      <w:lvlJc w:val="left"/>
      <w:pPr>
        <w:tabs>
          <w:tab w:val="num" w:pos="1440"/>
        </w:tabs>
        <w:ind w:left="1440" w:hanging="360"/>
      </w:pPr>
    </w:lvl>
    <w:lvl w:ilvl="2" w:tplc="CFC2E164" w:tentative="1">
      <w:start w:val="1"/>
      <w:numFmt w:val="decimal"/>
      <w:lvlText w:val="%3."/>
      <w:lvlJc w:val="left"/>
      <w:pPr>
        <w:tabs>
          <w:tab w:val="num" w:pos="2160"/>
        </w:tabs>
        <w:ind w:left="2160" w:hanging="360"/>
      </w:pPr>
    </w:lvl>
    <w:lvl w:ilvl="3" w:tplc="7C06773A" w:tentative="1">
      <w:start w:val="1"/>
      <w:numFmt w:val="decimal"/>
      <w:lvlText w:val="%4."/>
      <w:lvlJc w:val="left"/>
      <w:pPr>
        <w:tabs>
          <w:tab w:val="num" w:pos="2880"/>
        </w:tabs>
        <w:ind w:left="2880" w:hanging="360"/>
      </w:pPr>
    </w:lvl>
    <w:lvl w:ilvl="4" w:tplc="7E3E8884" w:tentative="1">
      <w:start w:val="1"/>
      <w:numFmt w:val="decimal"/>
      <w:lvlText w:val="%5."/>
      <w:lvlJc w:val="left"/>
      <w:pPr>
        <w:tabs>
          <w:tab w:val="num" w:pos="3600"/>
        </w:tabs>
        <w:ind w:left="3600" w:hanging="360"/>
      </w:pPr>
    </w:lvl>
    <w:lvl w:ilvl="5" w:tplc="D18209D0" w:tentative="1">
      <w:start w:val="1"/>
      <w:numFmt w:val="decimal"/>
      <w:lvlText w:val="%6."/>
      <w:lvlJc w:val="left"/>
      <w:pPr>
        <w:tabs>
          <w:tab w:val="num" w:pos="4320"/>
        </w:tabs>
        <w:ind w:left="4320" w:hanging="360"/>
      </w:pPr>
    </w:lvl>
    <w:lvl w:ilvl="6" w:tplc="DEB0911C" w:tentative="1">
      <w:start w:val="1"/>
      <w:numFmt w:val="decimal"/>
      <w:lvlText w:val="%7."/>
      <w:lvlJc w:val="left"/>
      <w:pPr>
        <w:tabs>
          <w:tab w:val="num" w:pos="5040"/>
        </w:tabs>
        <w:ind w:left="5040" w:hanging="360"/>
      </w:pPr>
    </w:lvl>
    <w:lvl w:ilvl="7" w:tplc="723A96E8" w:tentative="1">
      <w:start w:val="1"/>
      <w:numFmt w:val="decimal"/>
      <w:lvlText w:val="%8."/>
      <w:lvlJc w:val="left"/>
      <w:pPr>
        <w:tabs>
          <w:tab w:val="num" w:pos="5760"/>
        </w:tabs>
        <w:ind w:left="5760" w:hanging="360"/>
      </w:pPr>
    </w:lvl>
    <w:lvl w:ilvl="8" w:tplc="E3EA4ADA" w:tentative="1">
      <w:start w:val="1"/>
      <w:numFmt w:val="decimal"/>
      <w:lvlText w:val="%9."/>
      <w:lvlJc w:val="left"/>
      <w:pPr>
        <w:tabs>
          <w:tab w:val="num" w:pos="6480"/>
        </w:tabs>
        <w:ind w:left="6480" w:hanging="360"/>
      </w:pPr>
    </w:lvl>
  </w:abstractNum>
  <w:abstractNum w:abstractNumId="8" w15:restartNumberingAfterBreak="0">
    <w:nsid w:val="2BCA1716"/>
    <w:multiLevelType w:val="hybridMultilevel"/>
    <w:tmpl w:val="7E924112"/>
    <w:lvl w:ilvl="0" w:tplc="26284084">
      <w:start w:val="1"/>
      <w:numFmt w:val="decimal"/>
      <w:lvlText w:val="%1)"/>
      <w:lvlJc w:val="left"/>
      <w:pPr>
        <w:ind w:left="720" w:hanging="360"/>
      </w:pPr>
      <w:rPr>
        <w:rFonts w:asciiTheme="minorHAnsi" w:eastAsiaTheme="minorEastAsia" w:hAnsi="Calibri" w:cstheme="minorBidi"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41D55"/>
    <w:multiLevelType w:val="hybridMultilevel"/>
    <w:tmpl w:val="9AB0B9AA"/>
    <w:lvl w:ilvl="0" w:tplc="24BA61F6">
      <w:start w:val="1"/>
      <w:numFmt w:val="lowerRoman"/>
      <w:lvlText w:val="%1)"/>
      <w:lvlJc w:val="left"/>
      <w:pPr>
        <w:ind w:left="1080" w:hanging="72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0A021F"/>
    <w:multiLevelType w:val="hybridMultilevel"/>
    <w:tmpl w:val="05446D16"/>
    <w:lvl w:ilvl="0" w:tplc="619C1352">
      <w:start w:val="1"/>
      <w:numFmt w:val="bullet"/>
      <w:lvlText w:val="•"/>
      <w:lvlJc w:val="left"/>
      <w:pPr>
        <w:tabs>
          <w:tab w:val="num" w:pos="720"/>
        </w:tabs>
        <w:ind w:left="720" w:hanging="360"/>
      </w:pPr>
      <w:rPr>
        <w:rFonts w:ascii="Arial" w:hAnsi="Arial" w:hint="default"/>
      </w:rPr>
    </w:lvl>
    <w:lvl w:ilvl="1" w:tplc="87183B0E">
      <w:start w:val="1"/>
      <w:numFmt w:val="bullet"/>
      <w:lvlText w:val="•"/>
      <w:lvlJc w:val="left"/>
      <w:pPr>
        <w:tabs>
          <w:tab w:val="num" w:pos="1440"/>
        </w:tabs>
        <w:ind w:left="1440" w:hanging="360"/>
      </w:pPr>
      <w:rPr>
        <w:rFonts w:ascii="Arial" w:hAnsi="Arial" w:hint="default"/>
      </w:rPr>
    </w:lvl>
    <w:lvl w:ilvl="2" w:tplc="EDF686A4" w:tentative="1">
      <w:start w:val="1"/>
      <w:numFmt w:val="bullet"/>
      <w:lvlText w:val="•"/>
      <w:lvlJc w:val="left"/>
      <w:pPr>
        <w:tabs>
          <w:tab w:val="num" w:pos="2160"/>
        </w:tabs>
        <w:ind w:left="2160" w:hanging="360"/>
      </w:pPr>
      <w:rPr>
        <w:rFonts w:ascii="Arial" w:hAnsi="Arial" w:hint="default"/>
      </w:rPr>
    </w:lvl>
    <w:lvl w:ilvl="3" w:tplc="A7783AB4" w:tentative="1">
      <w:start w:val="1"/>
      <w:numFmt w:val="bullet"/>
      <w:lvlText w:val="•"/>
      <w:lvlJc w:val="left"/>
      <w:pPr>
        <w:tabs>
          <w:tab w:val="num" w:pos="2880"/>
        </w:tabs>
        <w:ind w:left="2880" w:hanging="360"/>
      </w:pPr>
      <w:rPr>
        <w:rFonts w:ascii="Arial" w:hAnsi="Arial" w:hint="default"/>
      </w:rPr>
    </w:lvl>
    <w:lvl w:ilvl="4" w:tplc="6E58C1E2" w:tentative="1">
      <w:start w:val="1"/>
      <w:numFmt w:val="bullet"/>
      <w:lvlText w:val="•"/>
      <w:lvlJc w:val="left"/>
      <w:pPr>
        <w:tabs>
          <w:tab w:val="num" w:pos="3600"/>
        </w:tabs>
        <w:ind w:left="3600" w:hanging="360"/>
      </w:pPr>
      <w:rPr>
        <w:rFonts w:ascii="Arial" w:hAnsi="Arial" w:hint="default"/>
      </w:rPr>
    </w:lvl>
    <w:lvl w:ilvl="5" w:tplc="882691F4" w:tentative="1">
      <w:start w:val="1"/>
      <w:numFmt w:val="bullet"/>
      <w:lvlText w:val="•"/>
      <w:lvlJc w:val="left"/>
      <w:pPr>
        <w:tabs>
          <w:tab w:val="num" w:pos="4320"/>
        </w:tabs>
        <w:ind w:left="4320" w:hanging="360"/>
      </w:pPr>
      <w:rPr>
        <w:rFonts w:ascii="Arial" w:hAnsi="Arial" w:hint="default"/>
      </w:rPr>
    </w:lvl>
    <w:lvl w:ilvl="6" w:tplc="C262CB6E" w:tentative="1">
      <w:start w:val="1"/>
      <w:numFmt w:val="bullet"/>
      <w:lvlText w:val="•"/>
      <w:lvlJc w:val="left"/>
      <w:pPr>
        <w:tabs>
          <w:tab w:val="num" w:pos="5040"/>
        </w:tabs>
        <w:ind w:left="5040" w:hanging="360"/>
      </w:pPr>
      <w:rPr>
        <w:rFonts w:ascii="Arial" w:hAnsi="Arial" w:hint="default"/>
      </w:rPr>
    </w:lvl>
    <w:lvl w:ilvl="7" w:tplc="E98C24D4" w:tentative="1">
      <w:start w:val="1"/>
      <w:numFmt w:val="bullet"/>
      <w:lvlText w:val="•"/>
      <w:lvlJc w:val="left"/>
      <w:pPr>
        <w:tabs>
          <w:tab w:val="num" w:pos="5760"/>
        </w:tabs>
        <w:ind w:left="5760" w:hanging="360"/>
      </w:pPr>
      <w:rPr>
        <w:rFonts w:ascii="Arial" w:hAnsi="Arial" w:hint="default"/>
      </w:rPr>
    </w:lvl>
    <w:lvl w:ilvl="8" w:tplc="38765A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A59AA"/>
    <w:multiLevelType w:val="hybridMultilevel"/>
    <w:tmpl w:val="CBCAB72C"/>
    <w:lvl w:ilvl="0" w:tplc="C31A44F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4452C"/>
    <w:multiLevelType w:val="hybridMultilevel"/>
    <w:tmpl w:val="C65C52DE"/>
    <w:lvl w:ilvl="0" w:tplc="DC902092">
      <w:start w:val="1"/>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1908DA"/>
    <w:multiLevelType w:val="hybridMultilevel"/>
    <w:tmpl w:val="AE6E2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45C5F"/>
    <w:multiLevelType w:val="hybridMultilevel"/>
    <w:tmpl w:val="C004E9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05177A"/>
    <w:multiLevelType w:val="hybridMultilevel"/>
    <w:tmpl w:val="6108ECF4"/>
    <w:lvl w:ilvl="0" w:tplc="252C6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07F36"/>
    <w:multiLevelType w:val="hybridMultilevel"/>
    <w:tmpl w:val="C56A0DDC"/>
    <w:lvl w:ilvl="0" w:tplc="D936A6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3D144E"/>
    <w:multiLevelType w:val="hybridMultilevel"/>
    <w:tmpl w:val="E9A6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639"/>
    <w:multiLevelType w:val="hybridMultilevel"/>
    <w:tmpl w:val="3E12C2AC"/>
    <w:lvl w:ilvl="0" w:tplc="C900ADE2">
      <w:start w:val="1"/>
      <w:numFmt w:val="lowerRoman"/>
      <w:lvlText w:val="%1)"/>
      <w:lvlJc w:val="left"/>
      <w:pPr>
        <w:ind w:left="1080" w:hanging="72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A77B0F"/>
    <w:multiLevelType w:val="hybridMultilevel"/>
    <w:tmpl w:val="C6C2AE04"/>
    <w:lvl w:ilvl="0" w:tplc="4F1C46C0">
      <w:start w:val="1"/>
      <w:numFmt w:val="lowerRoman"/>
      <w:lvlText w:val="%1)"/>
      <w:lvlJc w:val="left"/>
      <w:pPr>
        <w:ind w:left="720" w:hanging="360"/>
      </w:pPr>
      <w:rPr>
        <w:rFonts w:asciiTheme="minorHAnsi" w:eastAsiaTheme="minorEastAsia" w:hAnsiTheme="minorHAnsi"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03536"/>
    <w:multiLevelType w:val="hybridMultilevel"/>
    <w:tmpl w:val="34AC25CA"/>
    <w:lvl w:ilvl="0" w:tplc="20885A10">
      <w:start w:val="3"/>
      <w:numFmt w:val="decimal"/>
      <w:lvlText w:val="%1."/>
      <w:lvlJc w:val="left"/>
      <w:pPr>
        <w:tabs>
          <w:tab w:val="num" w:pos="720"/>
        </w:tabs>
        <w:ind w:left="720" w:hanging="360"/>
      </w:pPr>
    </w:lvl>
    <w:lvl w:ilvl="1" w:tplc="AE2A03B8" w:tentative="1">
      <w:start w:val="1"/>
      <w:numFmt w:val="decimal"/>
      <w:lvlText w:val="%2."/>
      <w:lvlJc w:val="left"/>
      <w:pPr>
        <w:tabs>
          <w:tab w:val="num" w:pos="1440"/>
        </w:tabs>
        <w:ind w:left="1440" w:hanging="360"/>
      </w:pPr>
    </w:lvl>
    <w:lvl w:ilvl="2" w:tplc="FD4E3E9C" w:tentative="1">
      <w:start w:val="1"/>
      <w:numFmt w:val="decimal"/>
      <w:lvlText w:val="%3."/>
      <w:lvlJc w:val="left"/>
      <w:pPr>
        <w:tabs>
          <w:tab w:val="num" w:pos="2160"/>
        </w:tabs>
        <w:ind w:left="2160" w:hanging="360"/>
      </w:pPr>
    </w:lvl>
    <w:lvl w:ilvl="3" w:tplc="3572A81A" w:tentative="1">
      <w:start w:val="1"/>
      <w:numFmt w:val="decimal"/>
      <w:lvlText w:val="%4."/>
      <w:lvlJc w:val="left"/>
      <w:pPr>
        <w:tabs>
          <w:tab w:val="num" w:pos="2880"/>
        </w:tabs>
        <w:ind w:left="2880" w:hanging="360"/>
      </w:pPr>
    </w:lvl>
    <w:lvl w:ilvl="4" w:tplc="7406750E" w:tentative="1">
      <w:start w:val="1"/>
      <w:numFmt w:val="decimal"/>
      <w:lvlText w:val="%5."/>
      <w:lvlJc w:val="left"/>
      <w:pPr>
        <w:tabs>
          <w:tab w:val="num" w:pos="3600"/>
        </w:tabs>
        <w:ind w:left="3600" w:hanging="360"/>
      </w:pPr>
    </w:lvl>
    <w:lvl w:ilvl="5" w:tplc="3F42549A" w:tentative="1">
      <w:start w:val="1"/>
      <w:numFmt w:val="decimal"/>
      <w:lvlText w:val="%6."/>
      <w:lvlJc w:val="left"/>
      <w:pPr>
        <w:tabs>
          <w:tab w:val="num" w:pos="4320"/>
        </w:tabs>
        <w:ind w:left="4320" w:hanging="360"/>
      </w:pPr>
    </w:lvl>
    <w:lvl w:ilvl="6" w:tplc="EE26CC62" w:tentative="1">
      <w:start w:val="1"/>
      <w:numFmt w:val="decimal"/>
      <w:lvlText w:val="%7."/>
      <w:lvlJc w:val="left"/>
      <w:pPr>
        <w:tabs>
          <w:tab w:val="num" w:pos="5040"/>
        </w:tabs>
        <w:ind w:left="5040" w:hanging="360"/>
      </w:pPr>
    </w:lvl>
    <w:lvl w:ilvl="7" w:tplc="4F668D82" w:tentative="1">
      <w:start w:val="1"/>
      <w:numFmt w:val="decimal"/>
      <w:lvlText w:val="%8."/>
      <w:lvlJc w:val="left"/>
      <w:pPr>
        <w:tabs>
          <w:tab w:val="num" w:pos="5760"/>
        </w:tabs>
        <w:ind w:left="5760" w:hanging="360"/>
      </w:pPr>
    </w:lvl>
    <w:lvl w:ilvl="8" w:tplc="39AE428E" w:tentative="1">
      <w:start w:val="1"/>
      <w:numFmt w:val="decimal"/>
      <w:lvlText w:val="%9."/>
      <w:lvlJc w:val="left"/>
      <w:pPr>
        <w:tabs>
          <w:tab w:val="num" w:pos="6480"/>
        </w:tabs>
        <w:ind w:left="6480" w:hanging="360"/>
      </w:pPr>
    </w:lvl>
  </w:abstractNum>
  <w:abstractNum w:abstractNumId="21" w15:restartNumberingAfterBreak="0">
    <w:nsid w:val="67D47F84"/>
    <w:multiLevelType w:val="hybridMultilevel"/>
    <w:tmpl w:val="31FE5B1C"/>
    <w:lvl w:ilvl="0" w:tplc="934C586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B2FDA"/>
    <w:multiLevelType w:val="hybridMultilevel"/>
    <w:tmpl w:val="E14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63CD9"/>
    <w:multiLevelType w:val="hybridMultilevel"/>
    <w:tmpl w:val="546C42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54DE4"/>
    <w:multiLevelType w:val="hybridMultilevel"/>
    <w:tmpl w:val="860C0B4A"/>
    <w:lvl w:ilvl="0" w:tplc="6DB8AAC2">
      <w:start w:val="2"/>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F1793"/>
    <w:multiLevelType w:val="hybridMultilevel"/>
    <w:tmpl w:val="B0A09216"/>
    <w:lvl w:ilvl="0" w:tplc="E75A131C">
      <w:start w:val="1"/>
      <w:numFmt w:val="decimal"/>
      <w:lvlText w:val="%1."/>
      <w:lvlJc w:val="left"/>
      <w:pPr>
        <w:tabs>
          <w:tab w:val="num" w:pos="720"/>
        </w:tabs>
        <w:ind w:left="720" w:hanging="360"/>
      </w:pPr>
    </w:lvl>
    <w:lvl w:ilvl="1" w:tplc="6BDAFD9C" w:tentative="1">
      <w:start w:val="1"/>
      <w:numFmt w:val="decimal"/>
      <w:lvlText w:val="%2."/>
      <w:lvlJc w:val="left"/>
      <w:pPr>
        <w:tabs>
          <w:tab w:val="num" w:pos="1440"/>
        </w:tabs>
        <w:ind w:left="1440" w:hanging="360"/>
      </w:pPr>
    </w:lvl>
    <w:lvl w:ilvl="2" w:tplc="CFC2E164" w:tentative="1">
      <w:start w:val="1"/>
      <w:numFmt w:val="decimal"/>
      <w:lvlText w:val="%3."/>
      <w:lvlJc w:val="left"/>
      <w:pPr>
        <w:tabs>
          <w:tab w:val="num" w:pos="2160"/>
        </w:tabs>
        <w:ind w:left="2160" w:hanging="360"/>
      </w:pPr>
    </w:lvl>
    <w:lvl w:ilvl="3" w:tplc="7C06773A" w:tentative="1">
      <w:start w:val="1"/>
      <w:numFmt w:val="decimal"/>
      <w:lvlText w:val="%4."/>
      <w:lvlJc w:val="left"/>
      <w:pPr>
        <w:tabs>
          <w:tab w:val="num" w:pos="2880"/>
        </w:tabs>
        <w:ind w:left="2880" w:hanging="360"/>
      </w:pPr>
    </w:lvl>
    <w:lvl w:ilvl="4" w:tplc="7E3E8884" w:tentative="1">
      <w:start w:val="1"/>
      <w:numFmt w:val="decimal"/>
      <w:lvlText w:val="%5."/>
      <w:lvlJc w:val="left"/>
      <w:pPr>
        <w:tabs>
          <w:tab w:val="num" w:pos="3600"/>
        </w:tabs>
        <w:ind w:left="3600" w:hanging="360"/>
      </w:pPr>
    </w:lvl>
    <w:lvl w:ilvl="5" w:tplc="D18209D0" w:tentative="1">
      <w:start w:val="1"/>
      <w:numFmt w:val="decimal"/>
      <w:lvlText w:val="%6."/>
      <w:lvlJc w:val="left"/>
      <w:pPr>
        <w:tabs>
          <w:tab w:val="num" w:pos="4320"/>
        </w:tabs>
        <w:ind w:left="4320" w:hanging="360"/>
      </w:pPr>
    </w:lvl>
    <w:lvl w:ilvl="6" w:tplc="DEB0911C" w:tentative="1">
      <w:start w:val="1"/>
      <w:numFmt w:val="decimal"/>
      <w:lvlText w:val="%7."/>
      <w:lvlJc w:val="left"/>
      <w:pPr>
        <w:tabs>
          <w:tab w:val="num" w:pos="5040"/>
        </w:tabs>
        <w:ind w:left="5040" w:hanging="360"/>
      </w:pPr>
    </w:lvl>
    <w:lvl w:ilvl="7" w:tplc="723A96E8" w:tentative="1">
      <w:start w:val="1"/>
      <w:numFmt w:val="decimal"/>
      <w:lvlText w:val="%8."/>
      <w:lvlJc w:val="left"/>
      <w:pPr>
        <w:tabs>
          <w:tab w:val="num" w:pos="5760"/>
        </w:tabs>
        <w:ind w:left="5760" w:hanging="360"/>
      </w:pPr>
    </w:lvl>
    <w:lvl w:ilvl="8" w:tplc="E3EA4ADA" w:tentative="1">
      <w:start w:val="1"/>
      <w:numFmt w:val="decimal"/>
      <w:lvlText w:val="%9."/>
      <w:lvlJc w:val="left"/>
      <w:pPr>
        <w:tabs>
          <w:tab w:val="num" w:pos="6480"/>
        </w:tabs>
        <w:ind w:left="6480" w:hanging="360"/>
      </w:pPr>
    </w:lvl>
  </w:abstractNum>
  <w:abstractNum w:abstractNumId="26" w15:restartNumberingAfterBreak="0">
    <w:nsid w:val="77EC797F"/>
    <w:multiLevelType w:val="hybridMultilevel"/>
    <w:tmpl w:val="E1B0AC9C"/>
    <w:lvl w:ilvl="0" w:tplc="C31A44F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779CC"/>
    <w:multiLevelType w:val="hybridMultilevel"/>
    <w:tmpl w:val="9C3674F8"/>
    <w:lvl w:ilvl="0" w:tplc="EF12278A">
      <w:start w:val="1"/>
      <w:numFmt w:val="decimal"/>
      <w:lvlText w:val="%1."/>
      <w:lvlJc w:val="left"/>
      <w:pPr>
        <w:tabs>
          <w:tab w:val="num" w:pos="720"/>
        </w:tabs>
        <w:ind w:left="720" w:hanging="360"/>
      </w:pPr>
    </w:lvl>
    <w:lvl w:ilvl="1" w:tplc="44864720" w:tentative="1">
      <w:start w:val="1"/>
      <w:numFmt w:val="decimal"/>
      <w:lvlText w:val="%2."/>
      <w:lvlJc w:val="left"/>
      <w:pPr>
        <w:tabs>
          <w:tab w:val="num" w:pos="1440"/>
        </w:tabs>
        <w:ind w:left="1440" w:hanging="360"/>
      </w:pPr>
    </w:lvl>
    <w:lvl w:ilvl="2" w:tplc="04125EA6" w:tentative="1">
      <w:start w:val="1"/>
      <w:numFmt w:val="decimal"/>
      <w:lvlText w:val="%3."/>
      <w:lvlJc w:val="left"/>
      <w:pPr>
        <w:tabs>
          <w:tab w:val="num" w:pos="2160"/>
        </w:tabs>
        <w:ind w:left="2160" w:hanging="360"/>
      </w:pPr>
    </w:lvl>
    <w:lvl w:ilvl="3" w:tplc="92149DB4" w:tentative="1">
      <w:start w:val="1"/>
      <w:numFmt w:val="decimal"/>
      <w:lvlText w:val="%4."/>
      <w:lvlJc w:val="left"/>
      <w:pPr>
        <w:tabs>
          <w:tab w:val="num" w:pos="2880"/>
        </w:tabs>
        <w:ind w:left="2880" w:hanging="360"/>
      </w:pPr>
    </w:lvl>
    <w:lvl w:ilvl="4" w:tplc="B09E2186" w:tentative="1">
      <w:start w:val="1"/>
      <w:numFmt w:val="decimal"/>
      <w:lvlText w:val="%5."/>
      <w:lvlJc w:val="left"/>
      <w:pPr>
        <w:tabs>
          <w:tab w:val="num" w:pos="3600"/>
        </w:tabs>
        <w:ind w:left="3600" w:hanging="360"/>
      </w:pPr>
    </w:lvl>
    <w:lvl w:ilvl="5" w:tplc="9A86AECC" w:tentative="1">
      <w:start w:val="1"/>
      <w:numFmt w:val="decimal"/>
      <w:lvlText w:val="%6."/>
      <w:lvlJc w:val="left"/>
      <w:pPr>
        <w:tabs>
          <w:tab w:val="num" w:pos="4320"/>
        </w:tabs>
        <w:ind w:left="4320" w:hanging="360"/>
      </w:pPr>
    </w:lvl>
    <w:lvl w:ilvl="6" w:tplc="43C2E286" w:tentative="1">
      <w:start w:val="1"/>
      <w:numFmt w:val="decimal"/>
      <w:lvlText w:val="%7."/>
      <w:lvlJc w:val="left"/>
      <w:pPr>
        <w:tabs>
          <w:tab w:val="num" w:pos="5040"/>
        </w:tabs>
        <w:ind w:left="5040" w:hanging="360"/>
      </w:pPr>
    </w:lvl>
    <w:lvl w:ilvl="7" w:tplc="AB7AD48C" w:tentative="1">
      <w:start w:val="1"/>
      <w:numFmt w:val="decimal"/>
      <w:lvlText w:val="%8."/>
      <w:lvlJc w:val="left"/>
      <w:pPr>
        <w:tabs>
          <w:tab w:val="num" w:pos="5760"/>
        </w:tabs>
        <w:ind w:left="5760" w:hanging="360"/>
      </w:pPr>
    </w:lvl>
    <w:lvl w:ilvl="8" w:tplc="92404214" w:tentative="1">
      <w:start w:val="1"/>
      <w:numFmt w:val="decimal"/>
      <w:lvlText w:val="%9."/>
      <w:lvlJc w:val="left"/>
      <w:pPr>
        <w:tabs>
          <w:tab w:val="num" w:pos="6480"/>
        </w:tabs>
        <w:ind w:left="6480" w:hanging="360"/>
      </w:pPr>
    </w:lvl>
  </w:abstractNum>
  <w:abstractNum w:abstractNumId="28" w15:restartNumberingAfterBreak="0">
    <w:nsid w:val="7A68319F"/>
    <w:multiLevelType w:val="hybridMultilevel"/>
    <w:tmpl w:val="046027B2"/>
    <w:lvl w:ilvl="0" w:tplc="6DB8AAC2">
      <w:start w:val="2"/>
      <w:numFmt w:val="lowerRoman"/>
      <w:lvlText w:val="%1)"/>
      <w:lvlJc w:val="left"/>
      <w:pPr>
        <w:tabs>
          <w:tab w:val="num" w:pos="720"/>
        </w:tabs>
        <w:ind w:left="720" w:hanging="360"/>
      </w:pPr>
      <w:rPr>
        <w:rFonts w:hint="default"/>
        <w:b w:val="0"/>
      </w:rPr>
    </w:lvl>
    <w:lvl w:ilvl="1" w:tplc="6BDAFD9C">
      <w:start w:val="1"/>
      <w:numFmt w:val="decimal"/>
      <w:lvlText w:val="%2."/>
      <w:lvlJc w:val="left"/>
      <w:pPr>
        <w:tabs>
          <w:tab w:val="num" w:pos="1440"/>
        </w:tabs>
        <w:ind w:left="1440" w:hanging="360"/>
      </w:pPr>
    </w:lvl>
    <w:lvl w:ilvl="2" w:tplc="CFC2E164" w:tentative="1">
      <w:start w:val="1"/>
      <w:numFmt w:val="decimal"/>
      <w:lvlText w:val="%3."/>
      <w:lvlJc w:val="left"/>
      <w:pPr>
        <w:tabs>
          <w:tab w:val="num" w:pos="2160"/>
        </w:tabs>
        <w:ind w:left="2160" w:hanging="360"/>
      </w:pPr>
    </w:lvl>
    <w:lvl w:ilvl="3" w:tplc="7C06773A" w:tentative="1">
      <w:start w:val="1"/>
      <w:numFmt w:val="decimal"/>
      <w:lvlText w:val="%4."/>
      <w:lvlJc w:val="left"/>
      <w:pPr>
        <w:tabs>
          <w:tab w:val="num" w:pos="2880"/>
        </w:tabs>
        <w:ind w:left="2880" w:hanging="360"/>
      </w:pPr>
    </w:lvl>
    <w:lvl w:ilvl="4" w:tplc="7E3E8884" w:tentative="1">
      <w:start w:val="1"/>
      <w:numFmt w:val="decimal"/>
      <w:lvlText w:val="%5."/>
      <w:lvlJc w:val="left"/>
      <w:pPr>
        <w:tabs>
          <w:tab w:val="num" w:pos="3600"/>
        </w:tabs>
        <w:ind w:left="3600" w:hanging="360"/>
      </w:pPr>
    </w:lvl>
    <w:lvl w:ilvl="5" w:tplc="D18209D0" w:tentative="1">
      <w:start w:val="1"/>
      <w:numFmt w:val="decimal"/>
      <w:lvlText w:val="%6."/>
      <w:lvlJc w:val="left"/>
      <w:pPr>
        <w:tabs>
          <w:tab w:val="num" w:pos="4320"/>
        </w:tabs>
        <w:ind w:left="4320" w:hanging="360"/>
      </w:pPr>
    </w:lvl>
    <w:lvl w:ilvl="6" w:tplc="DEB0911C" w:tentative="1">
      <w:start w:val="1"/>
      <w:numFmt w:val="decimal"/>
      <w:lvlText w:val="%7."/>
      <w:lvlJc w:val="left"/>
      <w:pPr>
        <w:tabs>
          <w:tab w:val="num" w:pos="5040"/>
        </w:tabs>
        <w:ind w:left="5040" w:hanging="360"/>
      </w:pPr>
    </w:lvl>
    <w:lvl w:ilvl="7" w:tplc="723A96E8" w:tentative="1">
      <w:start w:val="1"/>
      <w:numFmt w:val="decimal"/>
      <w:lvlText w:val="%8."/>
      <w:lvlJc w:val="left"/>
      <w:pPr>
        <w:tabs>
          <w:tab w:val="num" w:pos="5760"/>
        </w:tabs>
        <w:ind w:left="5760" w:hanging="360"/>
      </w:pPr>
    </w:lvl>
    <w:lvl w:ilvl="8" w:tplc="E3EA4ADA" w:tentative="1">
      <w:start w:val="1"/>
      <w:numFmt w:val="decimal"/>
      <w:lvlText w:val="%9."/>
      <w:lvlJc w:val="left"/>
      <w:pPr>
        <w:tabs>
          <w:tab w:val="num" w:pos="6480"/>
        </w:tabs>
        <w:ind w:left="6480" w:hanging="360"/>
      </w:pPr>
    </w:lvl>
  </w:abstractNum>
  <w:num w:numId="1">
    <w:abstractNumId w:val="28"/>
  </w:num>
  <w:num w:numId="2">
    <w:abstractNumId w:val="3"/>
  </w:num>
  <w:num w:numId="3">
    <w:abstractNumId w:val="10"/>
  </w:num>
  <w:num w:numId="4">
    <w:abstractNumId w:val="27"/>
  </w:num>
  <w:num w:numId="5">
    <w:abstractNumId w:val="20"/>
  </w:num>
  <w:num w:numId="6">
    <w:abstractNumId w:val="8"/>
  </w:num>
  <w:num w:numId="7">
    <w:abstractNumId w:val="25"/>
  </w:num>
  <w:num w:numId="8">
    <w:abstractNumId w:val="19"/>
  </w:num>
  <w:num w:numId="9">
    <w:abstractNumId w:val="5"/>
  </w:num>
  <w:num w:numId="10">
    <w:abstractNumId w:val="2"/>
  </w:num>
  <w:num w:numId="11">
    <w:abstractNumId w:val="16"/>
  </w:num>
  <w:num w:numId="12">
    <w:abstractNumId w:val="26"/>
  </w:num>
  <w:num w:numId="13">
    <w:abstractNumId w:val="17"/>
  </w:num>
  <w:num w:numId="14">
    <w:abstractNumId w:val="13"/>
  </w:num>
  <w:num w:numId="15">
    <w:abstractNumId w:val="12"/>
  </w:num>
  <w:num w:numId="16">
    <w:abstractNumId w:val="11"/>
  </w:num>
  <w:num w:numId="17">
    <w:abstractNumId w:val="4"/>
  </w:num>
  <w:num w:numId="18">
    <w:abstractNumId w:val="22"/>
  </w:num>
  <w:num w:numId="19">
    <w:abstractNumId w:val="14"/>
  </w:num>
  <w:num w:numId="20">
    <w:abstractNumId w:val="1"/>
  </w:num>
  <w:num w:numId="21">
    <w:abstractNumId w:val="6"/>
  </w:num>
  <w:num w:numId="22">
    <w:abstractNumId w:val="21"/>
  </w:num>
  <w:num w:numId="23">
    <w:abstractNumId w:val="24"/>
  </w:num>
  <w:num w:numId="24">
    <w:abstractNumId w:val="7"/>
  </w:num>
  <w:num w:numId="25">
    <w:abstractNumId w:val="9"/>
  </w:num>
  <w:num w:numId="26">
    <w:abstractNumId w:val="18"/>
  </w:num>
  <w:num w:numId="27">
    <w:abstractNumId w:val="15"/>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61"/>
    <w:rsid w:val="00001E4F"/>
    <w:rsid w:val="000058F4"/>
    <w:rsid w:val="00005E30"/>
    <w:rsid w:val="00006480"/>
    <w:rsid w:val="00012BA0"/>
    <w:rsid w:val="00015CE2"/>
    <w:rsid w:val="0002022E"/>
    <w:rsid w:val="00021F5C"/>
    <w:rsid w:val="0002502A"/>
    <w:rsid w:val="0003208E"/>
    <w:rsid w:val="00032E41"/>
    <w:rsid w:val="000331E4"/>
    <w:rsid w:val="00042141"/>
    <w:rsid w:val="00047265"/>
    <w:rsid w:val="000500BE"/>
    <w:rsid w:val="0005085A"/>
    <w:rsid w:val="0005554E"/>
    <w:rsid w:val="00065071"/>
    <w:rsid w:val="0006767A"/>
    <w:rsid w:val="00070A5E"/>
    <w:rsid w:val="000713FF"/>
    <w:rsid w:val="0007166D"/>
    <w:rsid w:val="00073C76"/>
    <w:rsid w:val="00075C26"/>
    <w:rsid w:val="000820C2"/>
    <w:rsid w:val="00086C24"/>
    <w:rsid w:val="00091FD8"/>
    <w:rsid w:val="0009366A"/>
    <w:rsid w:val="000968C1"/>
    <w:rsid w:val="000A7BAF"/>
    <w:rsid w:val="000B3674"/>
    <w:rsid w:val="000C04DC"/>
    <w:rsid w:val="000C1565"/>
    <w:rsid w:val="000C203C"/>
    <w:rsid w:val="000D2CD2"/>
    <w:rsid w:val="000D2D02"/>
    <w:rsid w:val="000D5829"/>
    <w:rsid w:val="000E0705"/>
    <w:rsid w:val="000E2F5F"/>
    <w:rsid w:val="000E7CEE"/>
    <w:rsid w:val="000F2AC7"/>
    <w:rsid w:val="000F5949"/>
    <w:rsid w:val="00101A96"/>
    <w:rsid w:val="00102AF5"/>
    <w:rsid w:val="001070A7"/>
    <w:rsid w:val="00113653"/>
    <w:rsid w:val="0011553B"/>
    <w:rsid w:val="001167AA"/>
    <w:rsid w:val="00121203"/>
    <w:rsid w:val="001230BC"/>
    <w:rsid w:val="001269E2"/>
    <w:rsid w:val="0012770B"/>
    <w:rsid w:val="001315E9"/>
    <w:rsid w:val="00131FF1"/>
    <w:rsid w:val="00140314"/>
    <w:rsid w:val="00140DC9"/>
    <w:rsid w:val="0014168F"/>
    <w:rsid w:val="001433B0"/>
    <w:rsid w:val="0014366E"/>
    <w:rsid w:val="00143B4B"/>
    <w:rsid w:val="00143CB2"/>
    <w:rsid w:val="001456D1"/>
    <w:rsid w:val="00150F85"/>
    <w:rsid w:val="001514C5"/>
    <w:rsid w:val="0015609D"/>
    <w:rsid w:val="00156DB8"/>
    <w:rsid w:val="00157375"/>
    <w:rsid w:val="001623D2"/>
    <w:rsid w:val="00173D4F"/>
    <w:rsid w:val="001740AE"/>
    <w:rsid w:val="00177B50"/>
    <w:rsid w:val="0018168E"/>
    <w:rsid w:val="00181BE8"/>
    <w:rsid w:val="00182148"/>
    <w:rsid w:val="00185264"/>
    <w:rsid w:val="001861A5"/>
    <w:rsid w:val="0019223D"/>
    <w:rsid w:val="001A0478"/>
    <w:rsid w:val="001A10B3"/>
    <w:rsid w:val="001B3C4E"/>
    <w:rsid w:val="001B4161"/>
    <w:rsid w:val="001C0461"/>
    <w:rsid w:val="001C3E16"/>
    <w:rsid w:val="001D1AD8"/>
    <w:rsid w:val="001D38AC"/>
    <w:rsid w:val="001E0E8A"/>
    <w:rsid w:val="001E16DC"/>
    <w:rsid w:val="001E2E29"/>
    <w:rsid w:val="001E556C"/>
    <w:rsid w:val="001E7770"/>
    <w:rsid w:val="001F1EAF"/>
    <w:rsid w:val="001F6778"/>
    <w:rsid w:val="00201DAE"/>
    <w:rsid w:val="00202B1B"/>
    <w:rsid w:val="002042C3"/>
    <w:rsid w:val="00204882"/>
    <w:rsid w:val="002077E5"/>
    <w:rsid w:val="00207DA2"/>
    <w:rsid w:val="00211DE2"/>
    <w:rsid w:val="00214F8A"/>
    <w:rsid w:val="00224712"/>
    <w:rsid w:val="00224B70"/>
    <w:rsid w:val="00227F38"/>
    <w:rsid w:val="00232E6C"/>
    <w:rsid w:val="00233374"/>
    <w:rsid w:val="00236427"/>
    <w:rsid w:val="002401E0"/>
    <w:rsid w:val="002405D0"/>
    <w:rsid w:val="0024259A"/>
    <w:rsid w:val="002432AB"/>
    <w:rsid w:val="00243C7F"/>
    <w:rsid w:val="0024403A"/>
    <w:rsid w:val="002477A9"/>
    <w:rsid w:val="00247E20"/>
    <w:rsid w:val="00250DF6"/>
    <w:rsid w:val="002524C1"/>
    <w:rsid w:val="00260EB6"/>
    <w:rsid w:val="00261175"/>
    <w:rsid w:val="00261ACE"/>
    <w:rsid w:val="00262048"/>
    <w:rsid w:val="00265537"/>
    <w:rsid w:val="00266220"/>
    <w:rsid w:val="00273848"/>
    <w:rsid w:val="0027502D"/>
    <w:rsid w:val="00275B89"/>
    <w:rsid w:val="00280744"/>
    <w:rsid w:val="00292525"/>
    <w:rsid w:val="002971D3"/>
    <w:rsid w:val="00297856"/>
    <w:rsid w:val="002A0D46"/>
    <w:rsid w:val="002A1F0D"/>
    <w:rsid w:val="002A2465"/>
    <w:rsid w:val="002A2D96"/>
    <w:rsid w:val="002A60F6"/>
    <w:rsid w:val="002B2DA9"/>
    <w:rsid w:val="002B6B23"/>
    <w:rsid w:val="002C17CC"/>
    <w:rsid w:val="002C49FB"/>
    <w:rsid w:val="002C69E6"/>
    <w:rsid w:val="002D5BC2"/>
    <w:rsid w:val="002D6BC3"/>
    <w:rsid w:val="002E35C9"/>
    <w:rsid w:val="002F2B41"/>
    <w:rsid w:val="002F4B54"/>
    <w:rsid w:val="002F6C70"/>
    <w:rsid w:val="003010A1"/>
    <w:rsid w:val="00302940"/>
    <w:rsid w:val="00313594"/>
    <w:rsid w:val="00315FE6"/>
    <w:rsid w:val="00316FC8"/>
    <w:rsid w:val="00317454"/>
    <w:rsid w:val="00321364"/>
    <w:rsid w:val="00321A2F"/>
    <w:rsid w:val="003230AC"/>
    <w:rsid w:val="00323911"/>
    <w:rsid w:val="00323A59"/>
    <w:rsid w:val="003374EA"/>
    <w:rsid w:val="00340199"/>
    <w:rsid w:val="003406A3"/>
    <w:rsid w:val="003439AD"/>
    <w:rsid w:val="00351F72"/>
    <w:rsid w:val="00355D79"/>
    <w:rsid w:val="00360693"/>
    <w:rsid w:val="00363562"/>
    <w:rsid w:val="00366476"/>
    <w:rsid w:val="00366589"/>
    <w:rsid w:val="00366AAD"/>
    <w:rsid w:val="00367D06"/>
    <w:rsid w:val="00371FB6"/>
    <w:rsid w:val="00375E2B"/>
    <w:rsid w:val="00377A3E"/>
    <w:rsid w:val="00385DA6"/>
    <w:rsid w:val="0039324F"/>
    <w:rsid w:val="0039358D"/>
    <w:rsid w:val="003A5A53"/>
    <w:rsid w:val="003B1B8E"/>
    <w:rsid w:val="003B1CFA"/>
    <w:rsid w:val="003B31E7"/>
    <w:rsid w:val="003B3B05"/>
    <w:rsid w:val="003B4912"/>
    <w:rsid w:val="003B6850"/>
    <w:rsid w:val="003B6E4F"/>
    <w:rsid w:val="003C0479"/>
    <w:rsid w:val="003C1F64"/>
    <w:rsid w:val="003C403B"/>
    <w:rsid w:val="003C5D46"/>
    <w:rsid w:val="003C63B4"/>
    <w:rsid w:val="003C63ED"/>
    <w:rsid w:val="003D0E38"/>
    <w:rsid w:val="003E0D9F"/>
    <w:rsid w:val="003E20BA"/>
    <w:rsid w:val="003E41CB"/>
    <w:rsid w:val="003E7B61"/>
    <w:rsid w:val="0040175B"/>
    <w:rsid w:val="00403D55"/>
    <w:rsid w:val="00414C7C"/>
    <w:rsid w:val="004154E5"/>
    <w:rsid w:val="004235D7"/>
    <w:rsid w:val="00425ADD"/>
    <w:rsid w:val="0042699D"/>
    <w:rsid w:val="0043106C"/>
    <w:rsid w:val="00431A6E"/>
    <w:rsid w:val="00432AE9"/>
    <w:rsid w:val="004349BF"/>
    <w:rsid w:val="00434A3C"/>
    <w:rsid w:val="00443F2B"/>
    <w:rsid w:val="0044688A"/>
    <w:rsid w:val="00447216"/>
    <w:rsid w:val="00452773"/>
    <w:rsid w:val="00454D0C"/>
    <w:rsid w:val="004553A7"/>
    <w:rsid w:val="004629A1"/>
    <w:rsid w:val="00463793"/>
    <w:rsid w:val="00466132"/>
    <w:rsid w:val="004725BA"/>
    <w:rsid w:val="0047378E"/>
    <w:rsid w:val="00475F53"/>
    <w:rsid w:val="004910BF"/>
    <w:rsid w:val="00493D8C"/>
    <w:rsid w:val="00494E7D"/>
    <w:rsid w:val="00495491"/>
    <w:rsid w:val="00496E0D"/>
    <w:rsid w:val="004A2D3F"/>
    <w:rsid w:val="004A5B30"/>
    <w:rsid w:val="004A71F9"/>
    <w:rsid w:val="004A7AAA"/>
    <w:rsid w:val="004B068E"/>
    <w:rsid w:val="004B07D3"/>
    <w:rsid w:val="004B1A4D"/>
    <w:rsid w:val="004B1B83"/>
    <w:rsid w:val="004C41A2"/>
    <w:rsid w:val="004C58E4"/>
    <w:rsid w:val="004D0BC5"/>
    <w:rsid w:val="004E08E2"/>
    <w:rsid w:val="004E206E"/>
    <w:rsid w:val="004E7A07"/>
    <w:rsid w:val="004F0DED"/>
    <w:rsid w:val="004F11FB"/>
    <w:rsid w:val="004F1C2F"/>
    <w:rsid w:val="004F2600"/>
    <w:rsid w:val="004F41AB"/>
    <w:rsid w:val="004F5334"/>
    <w:rsid w:val="004F78BA"/>
    <w:rsid w:val="005007A8"/>
    <w:rsid w:val="0050198F"/>
    <w:rsid w:val="00511D28"/>
    <w:rsid w:val="00511F67"/>
    <w:rsid w:val="00511F71"/>
    <w:rsid w:val="00512B7A"/>
    <w:rsid w:val="0051356A"/>
    <w:rsid w:val="00513E55"/>
    <w:rsid w:val="005140A4"/>
    <w:rsid w:val="00514257"/>
    <w:rsid w:val="00520293"/>
    <w:rsid w:val="00520A0D"/>
    <w:rsid w:val="00523193"/>
    <w:rsid w:val="00526711"/>
    <w:rsid w:val="00532D87"/>
    <w:rsid w:val="00532E9E"/>
    <w:rsid w:val="005367C7"/>
    <w:rsid w:val="00541DDA"/>
    <w:rsid w:val="005429F8"/>
    <w:rsid w:val="00544D93"/>
    <w:rsid w:val="005469FA"/>
    <w:rsid w:val="0055136C"/>
    <w:rsid w:val="00555587"/>
    <w:rsid w:val="00557AC9"/>
    <w:rsid w:val="00564F6F"/>
    <w:rsid w:val="00567D10"/>
    <w:rsid w:val="00571832"/>
    <w:rsid w:val="00573CE2"/>
    <w:rsid w:val="005758A8"/>
    <w:rsid w:val="00575E3C"/>
    <w:rsid w:val="00576956"/>
    <w:rsid w:val="00587640"/>
    <w:rsid w:val="00587B45"/>
    <w:rsid w:val="00596372"/>
    <w:rsid w:val="005B1B69"/>
    <w:rsid w:val="005B4A11"/>
    <w:rsid w:val="005B5620"/>
    <w:rsid w:val="005B5A9A"/>
    <w:rsid w:val="005B60D4"/>
    <w:rsid w:val="005C2947"/>
    <w:rsid w:val="005C3AB2"/>
    <w:rsid w:val="005C7093"/>
    <w:rsid w:val="005C7BDA"/>
    <w:rsid w:val="005D005C"/>
    <w:rsid w:val="005D03C6"/>
    <w:rsid w:val="005E0031"/>
    <w:rsid w:val="005E129F"/>
    <w:rsid w:val="005E13EB"/>
    <w:rsid w:val="005E4E42"/>
    <w:rsid w:val="005F31E9"/>
    <w:rsid w:val="005F470A"/>
    <w:rsid w:val="005F7639"/>
    <w:rsid w:val="00601CAA"/>
    <w:rsid w:val="0060374C"/>
    <w:rsid w:val="00606C69"/>
    <w:rsid w:val="006079F8"/>
    <w:rsid w:val="0061349D"/>
    <w:rsid w:val="00627565"/>
    <w:rsid w:val="00632947"/>
    <w:rsid w:val="00632D87"/>
    <w:rsid w:val="00632E91"/>
    <w:rsid w:val="00633D6D"/>
    <w:rsid w:val="00636BBD"/>
    <w:rsid w:val="00636CBF"/>
    <w:rsid w:val="00641FBB"/>
    <w:rsid w:val="00642240"/>
    <w:rsid w:val="006435ED"/>
    <w:rsid w:val="00643AAA"/>
    <w:rsid w:val="0064530B"/>
    <w:rsid w:val="00645998"/>
    <w:rsid w:val="00645A6E"/>
    <w:rsid w:val="00647316"/>
    <w:rsid w:val="0065311B"/>
    <w:rsid w:val="00655ADF"/>
    <w:rsid w:val="006579E2"/>
    <w:rsid w:val="00660916"/>
    <w:rsid w:val="00667885"/>
    <w:rsid w:val="006704B5"/>
    <w:rsid w:val="00671E8B"/>
    <w:rsid w:val="00672260"/>
    <w:rsid w:val="0067418F"/>
    <w:rsid w:val="006741DC"/>
    <w:rsid w:val="006839C7"/>
    <w:rsid w:val="00684D8A"/>
    <w:rsid w:val="006853C9"/>
    <w:rsid w:val="006868E9"/>
    <w:rsid w:val="00691FB0"/>
    <w:rsid w:val="006975E7"/>
    <w:rsid w:val="006A1B23"/>
    <w:rsid w:val="006A395F"/>
    <w:rsid w:val="006B3FA0"/>
    <w:rsid w:val="006C7705"/>
    <w:rsid w:val="006E386A"/>
    <w:rsid w:val="006F15FB"/>
    <w:rsid w:val="006F228A"/>
    <w:rsid w:val="006F4173"/>
    <w:rsid w:val="006F43AB"/>
    <w:rsid w:val="006F65B9"/>
    <w:rsid w:val="006F7F45"/>
    <w:rsid w:val="00704890"/>
    <w:rsid w:val="00704EAF"/>
    <w:rsid w:val="00711140"/>
    <w:rsid w:val="0071324F"/>
    <w:rsid w:val="00713301"/>
    <w:rsid w:val="00716C48"/>
    <w:rsid w:val="00717159"/>
    <w:rsid w:val="0071785D"/>
    <w:rsid w:val="00721FC7"/>
    <w:rsid w:val="00722738"/>
    <w:rsid w:val="00724686"/>
    <w:rsid w:val="00732D60"/>
    <w:rsid w:val="00743D9F"/>
    <w:rsid w:val="00751402"/>
    <w:rsid w:val="0075793B"/>
    <w:rsid w:val="00760CE6"/>
    <w:rsid w:val="00761989"/>
    <w:rsid w:val="00765C11"/>
    <w:rsid w:val="00767074"/>
    <w:rsid w:val="00770C87"/>
    <w:rsid w:val="00771E7B"/>
    <w:rsid w:val="00773440"/>
    <w:rsid w:val="00774AC5"/>
    <w:rsid w:val="00774AF2"/>
    <w:rsid w:val="00776A02"/>
    <w:rsid w:val="00780A58"/>
    <w:rsid w:val="007836DA"/>
    <w:rsid w:val="0078475E"/>
    <w:rsid w:val="00785C54"/>
    <w:rsid w:val="0078735F"/>
    <w:rsid w:val="007965D7"/>
    <w:rsid w:val="007A10D3"/>
    <w:rsid w:val="007A2BCB"/>
    <w:rsid w:val="007A4EA7"/>
    <w:rsid w:val="007A5F2A"/>
    <w:rsid w:val="007B0AFD"/>
    <w:rsid w:val="007B0C67"/>
    <w:rsid w:val="007B53B5"/>
    <w:rsid w:val="007B55C6"/>
    <w:rsid w:val="007B61A1"/>
    <w:rsid w:val="007C3D45"/>
    <w:rsid w:val="007C48A5"/>
    <w:rsid w:val="007C5696"/>
    <w:rsid w:val="007E5655"/>
    <w:rsid w:val="007E5C58"/>
    <w:rsid w:val="007F0B3C"/>
    <w:rsid w:val="007F4329"/>
    <w:rsid w:val="007F49F8"/>
    <w:rsid w:val="00801545"/>
    <w:rsid w:val="00803099"/>
    <w:rsid w:val="00805D39"/>
    <w:rsid w:val="00807B27"/>
    <w:rsid w:val="00812ACA"/>
    <w:rsid w:val="00815BE2"/>
    <w:rsid w:val="00816073"/>
    <w:rsid w:val="008172D5"/>
    <w:rsid w:val="0082767B"/>
    <w:rsid w:val="00830288"/>
    <w:rsid w:val="00831A7C"/>
    <w:rsid w:val="00831C36"/>
    <w:rsid w:val="008331A9"/>
    <w:rsid w:val="00833703"/>
    <w:rsid w:val="0083404D"/>
    <w:rsid w:val="00837125"/>
    <w:rsid w:val="00843761"/>
    <w:rsid w:val="00845238"/>
    <w:rsid w:val="00845952"/>
    <w:rsid w:val="00847F6F"/>
    <w:rsid w:val="00850626"/>
    <w:rsid w:val="008522A2"/>
    <w:rsid w:val="008524AB"/>
    <w:rsid w:val="00853514"/>
    <w:rsid w:val="00861A54"/>
    <w:rsid w:val="00863C39"/>
    <w:rsid w:val="00864CE2"/>
    <w:rsid w:val="00876977"/>
    <w:rsid w:val="00881E59"/>
    <w:rsid w:val="00886AAC"/>
    <w:rsid w:val="00897D23"/>
    <w:rsid w:val="008A1DCC"/>
    <w:rsid w:val="008A29D2"/>
    <w:rsid w:val="008A3BE9"/>
    <w:rsid w:val="008B17F0"/>
    <w:rsid w:val="008B18DF"/>
    <w:rsid w:val="008B2628"/>
    <w:rsid w:val="008B70F4"/>
    <w:rsid w:val="008C119F"/>
    <w:rsid w:val="008D08AC"/>
    <w:rsid w:val="008D146E"/>
    <w:rsid w:val="008D31D2"/>
    <w:rsid w:val="008D36CD"/>
    <w:rsid w:val="008E2DCD"/>
    <w:rsid w:val="008E4FB1"/>
    <w:rsid w:val="008E77C9"/>
    <w:rsid w:val="008F1E7C"/>
    <w:rsid w:val="008F2BDA"/>
    <w:rsid w:val="008F772D"/>
    <w:rsid w:val="00900D96"/>
    <w:rsid w:val="009035BA"/>
    <w:rsid w:val="00905825"/>
    <w:rsid w:val="00906C3C"/>
    <w:rsid w:val="00907AAF"/>
    <w:rsid w:val="00913AFB"/>
    <w:rsid w:val="00914773"/>
    <w:rsid w:val="009169C8"/>
    <w:rsid w:val="00916E1E"/>
    <w:rsid w:val="00917C99"/>
    <w:rsid w:val="0092130F"/>
    <w:rsid w:val="00924ED6"/>
    <w:rsid w:val="00927856"/>
    <w:rsid w:val="00936B30"/>
    <w:rsid w:val="009372F0"/>
    <w:rsid w:val="009425DD"/>
    <w:rsid w:val="00943920"/>
    <w:rsid w:val="00944677"/>
    <w:rsid w:val="009449A6"/>
    <w:rsid w:val="00945BD4"/>
    <w:rsid w:val="00945CF3"/>
    <w:rsid w:val="0095056D"/>
    <w:rsid w:val="0095394C"/>
    <w:rsid w:val="00963968"/>
    <w:rsid w:val="0097329D"/>
    <w:rsid w:val="00973816"/>
    <w:rsid w:val="00973F11"/>
    <w:rsid w:val="009745C7"/>
    <w:rsid w:val="009769EF"/>
    <w:rsid w:val="0098187C"/>
    <w:rsid w:val="0098793F"/>
    <w:rsid w:val="009929D6"/>
    <w:rsid w:val="00993581"/>
    <w:rsid w:val="00995237"/>
    <w:rsid w:val="0099559C"/>
    <w:rsid w:val="009A4EF1"/>
    <w:rsid w:val="009A55A1"/>
    <w:rsid w:val="009A75F1"/>
    <w:rsid w:val="009C0D30"/>
    <w:rsid w:val="009C4476"/>
    <w:rsid w:val="009C6EF2"/>
    <w:rsid w:val="009C6F0E"/>
    <w:rsid w:val="009D0AC1"/>
    <w:rsid w:val="009D0FFF"/>
    <w:rsid w:val="009D13FB"/>
    <w:rsid w:val="009E6C63"/>
    <w:rsid w:val="009F327A"/>
    <w:rsid w:val="009F6072"/>
    <w:rsid w:val="009F7008"/>
    <w:rsid w:val="009F73AB"/>
    <w:rsid w:val="00A035B2"/>
    <w:rsid w:val="00A036F8"/>
    <w:rsid w:val="00A05C75"/>
    <w:rsid w:val="00A0633D"/>
    <w:rsid w:val="00A10023"/>
    <w:rsid w:val="00A11CE8"/>
    <w:rsid w:val="00A12577"/>
    <w:rsid w:val="00A14BBE"/>
    <w:rsid w:val="00A221AE"/>
    <w:rsid w:val="00A23DBF"/>
    <w:rsid w:val="00A25862"/>
    <w:rsid w:val="00A259B7"/>
    <w:rsid w:val="00A27059"/>
    <w:rsid w:val="00A3203A"/>
    <w:rsid w:val="00A32505"/>
    <w:rsid w:val="00A34E60"/>
    <w:rsid w:val="00A36DAC"/>
    <w:rsid w:val="00A3717B"/>
    <w:rsid w:val="00A3745D"/>
    <w:rsid w:val="00A53058"/>
    <w:rsid w:val="00A539EE"/>
    <w:rsid w:val="00A557E1"/>
    <w:rsid w:val="00A55D35"/>
    <w:rsid w:val="00A56A94"/>
    <w:rsid w:val="00A6015A"/>
    <w:rsid w:val="00A618A5"/>
    <w:rsid w:val="00A62C1E"/>
    <w:rsid w:val="00A67C76"/>
    <w:rsid w:val="00A7146A"/>
    <w:rsid w:val="00A71A1D"/>
    <w:rsid w:val="00A76D4E"/>
    <w:rsid w:val="00A76E15"/>
    <w:rsid w:val="00A76ED2"/>
    <w:rsid w:val="00A801DF"/>
    <w:rsid w:val="00A844F0"/>
    <w:rsid w:val="00AA1B88"/>
    <w:rsid w:val="00AA22CB"/>
    <w:rsid w:val="00AB1561"/>
    <w:rsid w:val="00AC0E67"/>
    <w:rsid w:val="00AC6426"/>
    <w:rsid w:val="00AC6A37"/>
    <w:rsid w:val="00AD0602"/>
    <w:rsid w:val="00AD3381"/>
    <w:rsid w:val="00AD3C91"/>
    <w:rsid w:val="00AD68C7"/>
    <w:rsid w:val="00AE2B70"/>
    <w:rsid w:val="00AE4502"/>
    <w:rsid w:val="00AF1EDE"/>
    <w:rsid w:val="00AF234C"/>
    <w:rsid w:val="00AF238D"/>
    <w:rsid w:val="00AF2DBE"/>
    <w:rsid w:val="00AF36F5"/>
    <w:rsid w:val="00AF5412"/>
    <w:rsid w:val="00AF5B45"/>
    <w:rsid w:val="00AF77D2"/>
    <w:rsid w:val="00B05104"/>
    <w:rsid w:val="00B13C30"/>
    <w:rsid w:val="00B155F4"/>
    <w:rsid w:val="00B22BC6"/>
    <w:rsid w:val="00B25554"/>
    <w:rsid w:val="00B26C02"/>
    <w:rsid w:val="00B27094"/>
    <w:rsid w:val="00B40C14"/>
    <w:rsid w:val="00B43B81"/>
    <w:rsid w:val="00B464A9"/>
    <w:rsid w:val="00B47CDB"/>
    <w:rsid w:val="00B50A1D"/>
    <w:rsid w:val="00B530A0"/>
    <w:rsid w:val="00B5461A"/>
    <w:rsid w:val="00B561EA"/>
    <w:rsid w:val="00B571F0"/>
    <w:rsid w:val="00B610A8"/>
    <w:rsid w:val="00B62134"/>
    <w:rsid w:val="00B676BB"/>
    <w:rsid w:val="00B921CC"/>
    <w:rsid w:val="00B9360B"/>
    <w:rsid w:val="00B95909"/>
    <w:rsid w:val="00B95BA9"/>
    <w:rsid w:val="00BA336F"/>
    <w:rsid w:val="00BA3766"/>
    <w:rsid w:val="00BA40F8"/>
    <w:rsid w:val="00BA4FEE"/>
    <w:rsid w:val="00BB2815"/>
    <w:rsid w:val="00BB2853"/>
    <w:rsid w:val="00BC30C1"/>
    <w:rsid w:val="00BD2AF5"/>
    <w:rsid w:val="00BD4AE6"/>
    <w:rsid w:val="00BD4BA1"/>
    <w:rsid w:val="00BD5EE2"/>
    <w:rsid w:val="00BE4829"/>
    <w:rsid w:val="00BE4C5E"/>
    <w:rsid w:val="00BE50C3"/>
    <w:rsid w:val="00BE6BA3"/>
    <w:rsid w:val="00BF1101"/>
    <w:rsid w:val="00BF1A43"/>
    <w:rsid w:val="00BF6D69"/>
    <w:rsid w:val="00C00F6E"/>
    <w:rsid w:val="00C01BA2"/>
    <w:rsid w:val="00C02252"/>
    <w:rsid w:val="00C103A7"/>
    <w:rsid w:val="00C14B7C"/>
    <w:rsid w:val="00C14C93"/>
    <w:rsid w:val="00C27F02"/>
    <w:rsid w:val="00C312A1"/>
    <w:rsid w:val="00C325FB"/>
    <w:rsid w:val="00C33DB3"/>
    <w:rsid w:val="00C35AB8"/>
    <w:rsid w:val="00C41EED"/>
    <w:rsid w:val="00C41FC6"/>
    <w:rsid w:val="00C42DD0"/>
    <w:rsid w:val="00C433CA"/>
    <w:rsid w:val="00C43748"/>
    <w:rsid w:val="00C43C3C"/>
    <w:rsid w:val="00C442BC"/>
    <w:rsid w:val="00C44ACA"/>
    <w:rsid w:val="00C51A64"/>
    <w:rsid w:val="00C52377"/>
    <w:rsid w:val="00C56050"/>
    <w:rsid w:val="00C56F00"/>
    <w:rsid w:val="00C572AD"/>
    <w:rsid w:val="00C57AD2"/>
    <w:rsid w:val="00C62462"/>
    <w:rsid w:val="00C73834"/>
    <w:rsid w:val="00C770C3"/>
    <w:rsid w:val="00C8083E"/>
    <w:rsid w:val="00C808CC"/>
    <w:rsid w:val="00C823DC"/>
    <w:rsid w:val="00C82ACE"/>
    <w:rsid w:val="00C82CD7"/>
    <w:rsid w:val="00C854DE"/>
    <w:rsid w:val="00C87D2E"/>
    <w:rsid w:val="00C90C6F"/>
    <w:rsid w:val="00C92CF7"/>
    <w:rsid w:val="00C9436B"/>
    <w:rsid w:val="00C95818"/>
    <w:rsid w:val="00CA4488"/>
    <w:rsid w:val="00CA5F6F"/>
    <w:rsid w:val="00CB1505"/>
    <w:rsid w:val="00CB1543"/>
    <w:rsid w:val="00CB69AD"/>
    <w:rsid w:val="00CB6CE9"/>
    <w:rsid w:val="00CB74FA"/>
    <w:rsid w:val="00CC1A79"/>
    <w:rsid w:val="00CC60D2"/>
    <w:rsid w:val="00CC7DBB"/>
    <w:rsid w:val="00CD0B75"/>
    <w:rsid w:val="00CE1A04"/>
    <w:rsid w:val="00CE1A65"/>
    <w:rsid w:val="00CE686A"/>
    <w:rsid w:val="00CE7D6E"/>
    <w:rsid w:val="00CF5F00"/>
    <w:rsid w:val="00CF5F87"/>
    <w:rsid w:val="00D036A4"/>
    <w:rsid w:val="00D04C3A"/>
    <w:rsid w:val="00D10AEC"/>
    <w:rsid w:val="00D11D6F"/>
    <w:rsid w:val="00D178A3"/>
    <w:rsid w:val="00D22A60"/>
    <w:rsid w:val="00D26DA6"/>
    <w:rsid w:val="00D31DDD"/>
    <w:rsid w:val="00D36722"/>
    <w:rsid w:val="00D40858"/>
    <w:rsid w:val="00D42FC3"/>
    <w:rsid w:val="00D451E9"/>
    <w:rsid w:val="00D47A16"/>
    <w:rsid w:val="00D61188"/>
    <w:rsid w:val="00D61D66"/>
    <w:rsid w:val="00D63AB0"/>
    <w:rsid w:val="00D65384"/>
    <w:rsid w:val="00D705A4"/>
    <w:rsid w:val="00D71503"/>
    <w:rsid w:val="00D77B4D"/>
    <w:rsid w:val="00D86A84"/>
    <w:rsid w:val="00D90CEE"/>
    <w:rsid w:val="00D92248"/>
    <w:rsid w:val="00D9224F"/>
    <w:rsid w:val="00DA1787"/>
    <w:rsid w:val="00DA1CCB"/>
    <w:rsid w:val="00DA3320"/>
    <w:rsid w:val="00DA5BEB"/>
    <w:rsid w:val="00DA737E"/>
    <w:rsid w:val="00DA7BC2"/>
    <w:rsid w:val="00DB2965"/>
    <w:rsid w:val="00DB416E"/>
    <w:rsid w:val="00DB6F57"/>
    <w:rsid w:val="00DC1116"/>
    <w:rsid w:val="00DC1692"/>
    <w:rsid w:val="00DC7CE4"/>
    <w:rsid w:val="00DD6D54"/>
    <w:rsid w:val="00DE0F5B"/>
    <w:rsid w:val="00DE1AB6"/>
    <w:rsid w:val="00DE2C5A"/>
    <w:rsid w:val="00DE6270"/>
    <w:rsid w:val="00DF0CA2"/>
    <w:rsid w:val="00DF47BD"/>
    <w:rsid w:val="00DF58DF"/>
    <w:rsid w:val="00DF6081"/>
    <w:rsid w:val="00E0020D"/>
    <w:rsid w:val="00E05C11"/>
    <w:rsid w:val="00E1639C"/>
    <w:rsid w:val="00E16EFD"/>
    <w:rsid w:val="00E21761"/>
    <w:rsid w:val="00E21EBF"/>
    <w:rsid w:val="00E25496"/>
    <w:rsid w:val="00E257CA"/>
    <w:rsid w:val="00E25A9F"/>
    <w:rsid w:val="00E27E92"/>
    <w:rsid w:val="00E3258C"/>
    <w:rsid w:val="00E33F68"/>
    <w:rsid w:val="00E35E6C"/>
    <w:rsid w:val="00E40CAE"/>
    <w:rsid w:val="00E424FD"/>
    <w:rsid w:val="00E4633E"/>
    <w:rsid w:val="00E509AA"/>
    <w:rsid w:val="00E51E22"/>
    <w:rsid w:val="00E52752"/>
    <w:rsid w:val="00E62031"/>
    <w:rsid w:val="00E65EE6"/>
    <w:rsid w:val="00E72C19"/>
    <w:rsid w:val="00E75484"/>
    <w:rsid w:val="00E754CB"/>
    <w:rsid w:val="00E7670A"/>
    <w:rsid w:val="00E8104B"/>
    <w:rsid w:val="00E81BAE"/>
    <w:rsid w:val="00E85775"/>
    <w:rsid w:val="00E93626"/>
    <w:rsid w:val="00E976DC"/>
    <w:rsid w:val="00EA0154"/>
    <w:rsid w:val="00EA2062"/>
    <w:rsid w:val="00EA2C4A"/>
    <w:rsid w:val="00EA403A"/>
    <w:rsid w:val="00EA4F86"/>
    <w:rsid w:val="00EB071B"/>
    <w:rsid w:val="00EB2426"/>
    <w:rsid w:val="00EB2DB2"/>
    <w:rsid w:val="00EB3251"/>
    <w:rsid w:val="00EB3DE8"/>
    <w:rsid w:val="00EB671E"/>
    <w:rsid w:val="00EC30B4"/>
    <w:rsid w:val="00EC424E"/>
    <w:rsid w:val="00ED1EAA"/>
    <w:rsid w:val="00ED52FB"/>
    <w:rsid w:val="00ED7986"/>
    <w:rsid w:val="00EE471B"/>
    <w:rsid w:val="00EE68B8"/>
    <w:rsid w:val="00EE6C56"/>
    <w:rsid w:val="00EF6B0A"/>
    <w:rsid w:val="00F00F0E"/>
    <w:rsid w:val="00F0467F"/>
    <w:rsid w:val="00F0741E"/>
    <w:rsid w:val="00F16C55"/>
    <w:rsid w:val="00F22807"/>
    <w:rsid w:val="00F27833"/>
    <w:rsid w:val="00F27F98"/>
    <w:rsid w:val="00F3268B"/>
    <w:rsid w:val="00F349B9"/>
    <w:rsid w:val="00F352AD"/>
    <w:rsid w:val="00F359F5"/>
    <w:rsid w:val="00F45312"/>
    <w:rsid w:val="00F46D01"/>
    <w:rsid w:val="00F501C7"/>
    <w:rsid w:val="00F506AD"/>
    <w:rsid w:val="00F54D59"/>
    <w:rsid w:val="00F55199"/>
    <w:rsid w:val="00F60762"/>
    <w:rsid w:val="00F618C8"/>
    <w:rsid w:val="00F6290E"/>
    <w:rsid w:val="00F63DA5"/>
    <w:rsid w:val="00F64839"/>
    <w:rsid w:val="00F7724E"/>
    <w:rsid w:val="00F85CE9"/>
    <w:rsid w:val="00F87379"/>
    <w:rsid w:val="00F87FB2"/>
    <w:rsid w:val="00F954E2"/>
    <w:rsid w:val="00FA2A12"/>
    <w:rsid w:val="00FB0471"/>
    <w:rsid w:val="00FB26A1"/>
    <w:rsid w:val="00FB6825"/>
    <w:rsid w:val="00FB741D"/>
    <w:rsid w:val="00FB7F17"/>
    <w:rsid w:val="00FC493A"/>
    <w:rsid w:val="00FC5BBD"/>
    <w:rsid w:val="00FC5C0D"/>
    <w:rsid w:val="00FC6147"/>
    <w:rsid w:val="00FD76B1"/>
    <w:rsid w:val="00FE182C"/>
    <w:rsid w:val="00FE2122"/>
    <w:rsid w:val="00FE46FE"/>
    <w:rsid w:val="00FF40AD"/>
    <w:rsid w:val="00FF4158"/>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963B9"/>
  <w15:chartTrackingRefBased/>
  <w15:docId w15:val="{CB014C73-BEC6-4744-8194-C82FBC83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next w:val="Normal"/>
    <w:link w:val="Heading6Char"/>
    <w:qFormat/>
    <w:rsid w:val="00DB2965"/>
    <w:pPr>
      <w:keepNext/>
      <w:spacing w:after="120" w:line="240" w:lineRule="atLeast"/>
      <w:ind w:left="360"/>
      <w:jc w:val="center"/>
      <w:outlineLvl w:val="5"/>
    </w:pPr>
    <w:rPr>
      <w:rFonts w:ascii="Arial" w:eastAsia="Times New Roman" w:hAnsi="Arial" w:cs="Times New Roman"/>
      <w:b/>
      <w:snapToGrid w:val="0"/>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3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853C9"/>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7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C19"/>
  </w:style>
  <w:style w:type="paragraph" w:styleId="Footer">
    <w:name w:val="footer"/>
    <w:basedOn w:val="Normal"/>
    <w:link w:val="FooterChar"/>
    <w:uiPriority w:val="99"/>
    <w:unhideWhenUsed/>
    <w:rsid w:val="00E7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C19"/>
  </w:style>
  <w:style w:type="paragraph" w:styleId="NoSpacing">
    <w:name w:val="No Spacing"/>
    <w:uiPriority w:val="1"/>
    <w:qFormat/>
    <w:rsid w:val="005367C7"/>
    <w:pPr>
      <w:spacing w:after="0" w:line="240" w:lineRule="auto"/>
      <w:jc w:val="both"/>
    </w:pPr>
    <w:rPr>
      <w:rFonts w:eastAsiaTheme="minorEastAsia"/>
      <w:lang w:val="en-GB" w:eastAsia="zh-CN"/>
    </w:rPr>
  </w:style>
  <w:style w:type="table" w:styleId="TableGrid">
    <w:name w:val="Table Grid"/>
    <w:basedOn w:val="TableNormal"/>
    <w:rsid w:val="008522A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1116"/>
    <w:rPr>
      <w:sz w:val="16"/>
      <w:szCs w:val="16"/>
    </w:rPr>
  </w:style>
  <w:style w:type="paragraph" w:styleId="CommentText">
    <w:name w:val="annotation text"/>
    <w:basedOn w:val="Normal"/>
    <w:link w:val="CommentTextChar"/>
    <w:uiPriority w:val="99"/>
    <w:semiHidden/>
    <w:unhideWhenUsed/>
    <w:rsid w:val="00DC1116"/>
    <w:pPr>
      <w:spacing w:line="240" w:lineRule="auto"/>
    </w:pPr>
    <w:rPr>
      <w:sz w:val="20"/>
      <w:szCs w:val="20"/>
    </w:rPr>
  </w:style>
  <w:style w:type="character" w:customStyle="1" w:styleId="CommentTextChar">
    <w:name w:val="Comment Text Char"/>
    <w:basedOn w:val="DefaultParagraphFont"/>
    <w:link w:val="CommentText"/>
    <w:uiPriority w:val="99"/>
    <w:semiHidden/>
    <w:rsid w:val="00DC1116"/>
    <w:rPr>
      <w:sz w:val="20"/>
      <w:szCs w:val="20"/>
    </w:rPr>
  </w:style>
  <w:style w:type="paragraph" w:styleId="CommentSubject">
    <w:name w:val="annotation subject"/>
    <w:basedOn w:val="CommentText"/>
    <w:next w:val="CommentText"/>
    <w:link w:val="CommentSubjectChar"/>
    <w:uiPriority w:val="99"/>
    <w:semiHidden/>
    <w:unhideWhenUsed/>
    <w:rsid w:val="00DC1116"/>
    <w:rPr>
      <w:b/>
      <w:bCs/>
    </w:rPr>
  </w:style>
  <w:style w:type="character" w:customStyle="1" w:styleId="CommentSubjectChar">
    <w:name w:val="Comment Subject Char"/>
    <w:basedOn w:val="CommentTextChar"/>
    <w:link w:val="CommentSubject"/>
    <w:uiPriority w:val="99"/>
    <w:semiHidden/>
    <w:rsid w:val="00DC1116"/>
    <w:rPr>
      <w:b/>
      <w:bCs/>
      <w:sz w:val="20"/>
      <w:szCs w:val="20"/>
    </w:rPr>
  </w:style>
  <w:style w:type="paragraph" w:styleId="BalloonText">
    <w:name w:val="Balloon Text"/>
    <w:basedOn w:val="Normal"/>
    <w:link w:val="BalloonTextChar"/>
    <w:uiPriority w:val="99"/>
    <w:semiHidden/>
    <w:unhideWhenUsed/>
    <w:rsid w:val="00DC1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16"/>
    <w:rPr>
      <w:rFonts w:ascii="Segoe UI" w:hAnsi="Segoe UI" w:cs="Segoe UI"/>
      <w:sz w:val="18"/>
      <w:szCs w:val="18"/>
    </w:rPr>
  </w:style>
  <w:style w:type="character" w:styleId="Hyperlink">
    <w:name w:val="Hyperlink"/>
    <w:basedOn w:val="DefaultParagraphFont"/>
    <w:uiPriority w:val="99"/>
    <w:unhideWhenUsed/>
    <w:rsid w:val="0002502A"/>
    <w:rPr>
      <w:color w:val="0000FF" w:themeColor="hyperlink"/>
      <w:u w:val="single"/>
    </w:rPr>
  </w:style>
  <w:style w:type="character" w:styleId="UnresolvedMention">
    <w:name w:val="Unresolved Mention"/>
    <w:basedOn w:val="DefaultParagraphFont"/>
    <w:uiPriority w:val="99"/>
    <w:semiHidden/>
    <w:unhideWhenUsed/>
    <w:rsid w:val="0002502A"/>
    <w:rPr>
      <w:color w:val="808080"/>
      <w:shd w:val="clear" w:color="auto" w:fill="E6E6E6"/>
    </w:rPr>
  </w:style>
  <w:style w:type="character" w:styleId="FollowedHyperlink">
    <w:name w:val="FollowedHyperlink"/>
    <w:basedOn w:val="DefaultParagraphFont"/>
    <w:uiPriority w:val="99"/>
    <w:semiHidden/>
    <w:unhideWhenUsed/>
    <w:rsid w:val="00837125"/>
    <w:rPr>
      <w:color w:val="800080" w:themeColor="followedHyperlink"/>
      <w:u w:val="single"/>
    </w:rPr>
  </w:style>
  <w:style w:type="character" w:customStyle="1" w:styleId="Heading6Char">
    <w:name w:val="Heading 6 Char"/>
    <w:basedOn w:val="DefaultParagraphFont"/>
    <w:link w:val="Heading6"/>
    <w:rsid w:val="00DB2965"/>
    <w:rPr>
      <w:rFonts w:ascii="Arial" w:eastAsia="Times New Roman" w:hAnsi="Arial" w:cs="Times New Roman"/>
      <w:b/>
      <w:snapToGrid w:val="0"/>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3143">
      <w:bodyDiv w:val="1"/>
      <w:marLeft w:val="0"/>
      <w:marRight w:val="0"/>
      <w:marTop w:val="0"/>
      <w:marBottom w:val="0"/>
      <w:divBdr>
        <w:top w:val="none" w:sz="0" w:space="0" w:color="auto"/>
        <w:left w:val="none" w:sz="0" w:space="0" w:color="auto"/>
        <w:bottom w:val="none" w:sz="0" w:space="0" w:color="auto"/>
        <w:right w:val="none" w:sz="0" w:space="0" w:color="auto"/>
      </w:divBdr>
    </w:div>
    <w:div w:id="610018767">
      <w:bodyDiv w:val="1"/>
      <w:marLeft w:val="0"/>
      <w:marRight w:val="0"/>
      <w:marTop w:val="0"/>
      <w:marBottom w:val="0"/>
      <w:divBdr>
        <w:top w:val="none" w:sz="0" w:space="0" w:color="auto"/>
        <w:left w:val="none" w:sz="0" w:space="0" w:color="auto"/>
        <w:bottom w:val="none" w:sz="0" w:space="0" w:color="auto"/>
        <w:right w:val="none" w:sz="0" w:space="0" w:color="auto"/>
      </w:divBdr>
      <w:divsChild>
        <w:div w:id="1755124208">
          <w:marLeft w:val="806"/>
          <w:marRight w:val="0"/>
          <w:marTop w:val="200"/>
          <w:marBottom w:val="0"/>
          <w:divBdr>
            <w:top w:val="none" w:sz="0" w:space="0" w:color="auto"/>
            <w:left w:val="none" w:sz="0" w:space="0" w:color="auto"/>
            <w:bottom w:val="none" w:sz="0" w:space="0" w:color="auto"/>
            <w:right w:val="none" w:sz="0" w:space="0" w:color="auto"/>
          </w:divBdr>
        </w:div>
        <w:div w:id="1661928321">
          <w:marLeft w:val="806"/>
          <w:marRight w:val="0"/>
          <w:marTop w:val="200"/>
          <w:marBottom w:val="0"/>
          <w:divBdr>
            <w:top w:val="none" w:sz="0" w:space="0" w:color="auto"/>
            <w:left w:val="none" w:sz="0" w:space="0" w:color="auto"/>
            <w:bottom w:val="none" w:sz="0" w:space="0" w:color="auto"/>
            <w:right w:val="none" w:sz="0" w:space="0" w:color="auto"/>
          </w:divBdr>
        </w:div>
        <w:div w:id="185486075">
          <w:marLeft w:val="806"/>
          <w:marRight w:val="0"/>
          <w:marTop w:val="200"/>
          <w:marBottom w:val="0"/>
          <w:divBdr>
            <w:top w:val="none" w:sz="0" w:space="0" w:color="auto"/>
            <w:left w:val="none" w:sz="0" w:space="0" w:color="auto"/>
            <w:bottom w:val="none" w:sz="0" w:space="0" w:color="auto"/>
            <w:right w:val="none" w:sz="0" w:space="0" w:color="auto"/>
          </w:divBdr>
        </w:div>
      </w:divsChild>
    </w:div>
    <w:div w:id="964458526">
      <w:bodyDiv w:val="1"/>
      <w:marLeft w:val="0"/>
      <w:marRight w:val="0"/>
      <w:marTop w:val="0"/>
      <w:marBottom w:val="0"/>
      <w:divBdr>
        <w:top w:val="none" w:sz="0" w:space="0" w:color="auto"/>
        <w:left w:val="none" w:sz="0" w:space="0" w:color="auto"/>
        <w:bottom w:val="none" w:sz="0" w:space="0" w:color="auto"/>
        <w:right w:val="none" w:sz="0" w:space="0" w:color="auto"/>
      </w:divBdr>
      <w:divsChild>
        <w:div w:id="1759055495">
          <w:marLeft w:val="1080"/>
          <w:marRight w:val="0"/>
          <w:marTop w:val="100"/>
          <w:marBottom w:val="0"/>
          <w:divBdr>
            <w:top w:val="none" w:sz="0" w:space="0" w:color="auto"/>
            <w:left w:val="none" w:sz="0" w:space="0" w:color="auto"/>
            <w:bottom w:val="none" w:sz="0" w:space="0" w:color="auto"/>
            <w:right w:val="none" w:sz="0" w:space="0" w:color="auto"/>
          </w:divBdr>
        </w:div>
        <w:div w:id="2050447716">
          <w:marLeft w:val="1080"/>
          <w:marRight w:val="0"/>
          <w:marTop w:val="100"/>
          <w:marBottom w:val="0"/>
          <w:divBdr>
            <w:top w:val="none" w:sz="0" w:space="0" w:color="auto"/>
            <w:left w:val="none" w:sz="0" w:space="0" w:color="auto"/>
            <w:bottom w:val="none" w:sz="0" w:space="0" w:color="auto"/>
            <w:right w:val="none" w:sz="0" w:space="0" w:color="auto"/>
          </w:divBdr>
        </w:div>
        <w:div w:id="1350721175">
          <w:marLeft w:val="1080"/>
          <w:marRight w:val="0"/>
          <w:marTop w:val="100"/>
          <w:marBottom w:val="0"/>
          <w:divBdr>
            <w:top w:val="none" w:sz="0" w:space="0" w:color="auto"/>
            <w:left w:val="none" w:sz="0" w:space="0" w:color="auto"/>
            <w:bottom w:val="none" w:sz="0" w:space="0" w:color="auto"/>
            <w:right w:val="none" w:sz="0" w:space="0" w:color="auto"/>
          </w:divBdr>
        </w:div>
        <w:div w:id="1714772543">
          <w:marLeft w:val="1080"/>
          <w:marRight w:val="0"/>
          <w:marTop w:val="100"/>
          <w:marBottom w:val="0"/>
          <w:divBdr>
            <w:top w:val="none" w:sz="0" w:space="0" w:color="auto"/>
            <w:left w:val="none" w:sz="0" w:space="0" w:color="auto"/>
            <w:bottom w:val="none" w:sz="0" w:space="0" w:color="auto"/>
            <w:right w:val="none" w:sz="0" w:space="0" w:color="auto"/>
          </w:divBdr>
        </w:div>
      </w:divsChild>
    </w:div>
    <w:div w:id="1090082943">
      <w:bodyDiv w:val="1"/>
      <w:marLeft w:val="0"/>
      <w:marRight w:val="0"/>
      <w:marTop w:val="0"/>
      <w:marBottom w:val="0"/>
      <w:divBdr>
        <w:top w:val="none" w:sz="0" w:space="0" w:color="auto"/>
        <w:left w:val="none" w:sz="0" w:space="0" w:color="auto"/>
        <w:bottom w:val="none" w:sz="0" w:space="0" w:color="auto"/>
        <w:right w:val="none" w:sz="0" w:space="0" w:color="auto"/>
      </w:divBdr>
    </w:div>
    <w:div w:id="1176846711">
      <w:bodyDiv w:val="1"/>
      <w:marLeft w:val="0"/>
      <w:marRight w:val="0"/>
      <w:marTop w:val="0"/>
      <w:marBottom w:val="0"/>
      <w:divBdr>
        <w:top w:val="none" w:sz="0" w:space="0" w:color="auto"/>
        <w:left w:val="none" w:sz="0" w:space="0" w:color="auto"/>
        <w:bottom w:val="none" w:sz="0" w:space="0" w:color="auto"/>
        <w:right w:val="none" w:sz="0" w:space="0" w:color="auto"/>
      </w:divBdr>
      <w:divsChild>
        <w:div w:id="2104109039">
          <w:marLeft w:val="806"/>
          <w:marRight w:val="0"/>
          <w:marTop w:val="200"/>
          <w:marBottom w:val="0"/>
          <w:divBdr>
            <w:top w:val="none" w:sz="0" w:space="0" w:color="auto"/>
            <w:left w:val="none" w:sz="0" w:space="0" w:color="auto"/>
            <w:bottom w:val="none" w:sz="0" w:space="0" w:color="auto"/>
            <w:right w:val="none" w:sz="0" w:space="0" w:color="auto"/>
          </w:divBdr>
        </w:div>
        <w:div w:id="2127039327">
          <w:marLeft w:val="806"/>
          <w:marRight w:val="0"/>
          <w:marTop w:val="200"/>
          <w:marBottom w:val="0"/>
          <w:divBdr>
            <w:top w:val="none" w:sz="0" w:space="0" w:color="auto"/>
            <w:left w:val="none" w:sz="0" w:space="0" w:color="auto"/>
            <w:bottom w:val="none" w:sz="0" w:space="0" w:color="auto"/>
            <w:right w:val="none" w:sz="0" w:space="0" w:color="auto"/>
          </w:divBdr>
        </w:div>
        <w:div w:id="736049655">
          <w:marLeft w:val="806"/>
          <w:marRight w:val="0"/>
          <w:marTop w:val="200"/>
          <w:marBottom w:val="0"/>
          <w:divBdr>
            <w:top w:val="none" w:sz="0" w:space="0" w:color="auto"/>
            <w:left w:val="none" w:sz="0" w:space="0" w:color="auto"/>
            <w:bottom w:val="none" w:sz="0" w:space="0" w:color="auto"/>
            <w:right w:val="none" w:sz="0" w:space="0" w:color="auto"/>
          </w:divBdr>
        </w:div>
        <w:div w:id="337736454">
          <w:marLeft w:val="806"/>
          <w:marRight w:val="0"/>
          <w:marTop w:val="200"/>
          <w:marBottom w:val="0"/>
          <w:divBdr>
            <w:top w:val="none" w:sz="0" w:space="0" w:color="auto"/>
            <w:left w:val="none" w:sz="0" w:space="0" w:color="auto"/>
            <w:bottom w:val="none" w:sz="0" w:space="0" w:color="auto"/>
            <w:right w:val="none" w:sz="0" w:space="0" w:color="auto"/>
          </w:divBdr>
        </w:div>
      </w:divsChild>
    </w:div>
    <w:div w:id="1335693595">
      <w:bodyDiv w:val="1"/>
      <w:marLeft w:val="0"/>
      <w:marRight w:val="0"/>
      <w:marTop w:val="0"/>
      <w:marBottom w:val="0"/>
      <w:divBdr>
        <w:top w:val="none" w:sz="0" w:space="0" w:color="auto"/>
        <w:left w:val="none" w:sz="0" w:space="0" w:color="auto"/>
        <w:bottom w:val="none" w:sz="0" w:space="0" w:color="auto"/>
        <w:right w:val="none" w:sz="0" w:space="0" w:color="auto"/>
      </w:divBdr>
    </w:div>
    <w:div w:id="19707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ons.gov.uk/ons/guide-method/census/2011/census-data/2011-census-user-guide/quality-and-methods/methods/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ons.gov.uk/ons/guide-method/census/2011/how-our-census-works/how-did-we-do-in-2011-/evaluation---item-edit-and-imputatio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ss.civilservice.gov.uk/wp-content/uploads/2013/03/GSS-MAC-31-Booklet_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ons.gov.uk/ons/guide-method/census/2011/the-2011-census/processing-the-information/statistical-methodology/coverage-adjustment-methodology-for-the-2011-census.pdf"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ons.gov.uk/ons/guide-method/census/2011/how-our-census-works/how-did-we-do-in-2011-/evaluation---coverage-assessment-and-adjustment.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RetentionType xmlns="f8cc70c5-6df4-4163-8f93-1fe30c314df0">Notify</RetentionType>
    <RetentionDate xmlns="f8cc70c5-6df4-4163-8f93-1fe30c314df0" xsi:nil="true"/>
    <_dlc_DocId xmlns="39b8a52d-d8b9-47ff-a8c3-c8931ddf8d60">D5PZWENCX5VS-172818178-31252</_dlc_DocId>
    <_dlc_DocIdUrl xmlns="39b8a52d-d8b9-47ff-a8c3-c8931ddf8d60">
      <Url>https://share.sp.ons.statistics.gov.uk/sites/MTH/Cen/_layouts/15/DocIdRedir.aspx?ID=D5PZWENCX5VS-172818178-31252</Url>
      <Description>D5PZWENCX5VS-172818178-31252</Description>
    </_dlc_DocIdUrl>
    <TaxCatchAll xmlns="e14115de-03ae-49b5-af01-31035404c456">
      <Value>9</Value>
    </TaxCatchAll>
    <TaxKeywordTaxHTField xmlns="e14115de-03ae-49b5-af01-31035404c456">
      <Terms xmlns="http://schemas.microsoft.com/office/infopath/2007/PartnerControls"/>
    </TaxKeywordTaxHTField>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a7dd7a64-f5c5-4f30-b8c4-f5626f639d1b" ContentTypeId="0x01010035E33599CC8D1E47A037F474646B1D58"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073C-D33D-4B63-BF17-EBB16D7342D0}">
  <ds:schemaRefs>
    <ds:schemaRef ds:uri="office.server.policy"/>
  </ds:schemaRefs>
</ds:datastoreItem>
</file>

<file path=customXml/itemProps2.xml><?xml version="1.0" encoding="utf-8"?>
<ds:datastoreItem xmlns:ds="http://schemas.openxmlformats.org/officeDocument/2006/customXml" ds:itemID="{AC782F5D-322B-4550-840B-41EE5F02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D588C-3870-4E99-909E-9DCED84B04EB}">
  <ds:schemaRefs>
    <ds:schemaRef ds:uri="http://schemas.microsoft.com/sharepoint/v3/contenttype/forms"/>
  </ds:schemaRefs>
</ds:datastoreItem>
</file>

<file path=customXml/itemProps4.xml><?xml version="1.0" encoding="utf-8"?>
<ds:datastoreItem xmlns:ds="http://schemas.openxmlformats.org/officeDocument/2006/customXml" ds:itemID="{1DAF6405-BC95-4B8E-94C5-83370DA0EA31}">
  <ds:schemaRefs>
    <ds:schemaRef ds:uri="http://purl.org/dc/dcmitype/"/>
    <ds:schemaRef ds:uri="39b8a52d-d8b9-47ff-a8c3-c8931ddf8d60"/>
    <ds:schemaRef ds:uri="http://schemas.microsoft.com/office/infopath/2007/PartnerControls"/>
    <ds:schemaRef ds:uri="http://purl.org/dc/elements/1.1/"/>
    <ds:schemaRef ds:uri="http://schemas.microsoft.com/office/2006/documentManagement/types"/>
    <ds:schemaRef ds:uri="e14115de-03ae-49b5-af01-31035404c456"/>
    <ds:schemaRef ds:uri="http://schemas.microsoft.com/sharepoint/v3"/>
    <ds:schemaRef ds:uri="http://purl.org/dc/terms/"/>
    <ds:schemaRef ds:uri="http://schemas.openxmlformats.org/package/2006/metadata/core-properties"/>
    <ds:schemaRef ds:uri="f8cc70c5-6df4-4163-8f93-1fe30c314df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2573ED4-9B17-432E-A5F7-25539C2722C1}">
  <ds:schemaRefs>
    <ds:schemaRef ds:uri="http://schemas.microsoft.com/office/2006/metadata/customXsn"/>
  </ds:schemaRefs>
</ds:datastoreItem>
</file>

<file path=customXml/itemProps6.xml><?xml version="1.0" encoding="utf-8"?>
<ds:datastoreItem xmlns:ds="http://schemas.openxmlformats.org/officeDocument/2006/customXml" ds:itemID="{A1C3CDF8-2633-41B5-B712-766F9F176B19}">
  <ds:schemaRefs>
    <ds:schemaRef ds:uri="http://schemas.microsoft.com/sharepoint/events"/>
  </ds:schemaRefs>
</ds:datastoreItem>
</file>

<file path=customXml/itemProps7.xml><?xml version="1.0" encoding="utf-8"?>
<ds:datastoreItem xmlns:ds="http://schemas.openxmlformats.org/officeDocument/2006/customXml" ds:itemID="{5C0D4B26-A32C-46A6-81E4-6F4A3E075546}">
  <ds:schemaRefs>
    <ds:schemaRef ds:uri="Microsoft.SharePoint.Taxonomy.ContentTypeSync"/>
  </ds:schemaRefs>
</ds:datastoreItem>
</file>

<file path=customXml/itemProps8.xml><?xml version="1.0" encoding="utf-8"?>
<ds:datastoreItem xmlns:ds="http://schemas.openxmlformats.org/officeDocument/2006/customXml" ds:itemID="{20447747-38AA-4C4A-9E2B-A836BC12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Whitworth, Alison</dc:creator>
  <cp:keywords/>
  <dc:description/>
  <cp:lastModifiedBy>Piller, Kirsten</cp:lastModifiedBy>
  <cp:revision>3</cp:revision>
  <cp:lastPrinted>2018-09-19T13:31:00Z</cp:lastPrinted>
  <dcterms:created xsi:type="dcterms:W3CDTF">2019-11-04T16:49:00Z</dcterms:created>
  <dcterms:modified xsi:type="dcterms:W3CDTF">2020-06-02T10:57:00Z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7352234b-02e5-45a5-a06a-abd294ca18a4</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9;#Meeting papers (inc. agendas minutes etc)|ce21491e-24bf-490d-8d19-382be1f405d0</vt:lpwstr>
  </property>
  <property fmtid="{D5CDD505-2E9C-101B-9397-08002B2CF9AE}" pid="9" name="TaxKeywordTaxHTField">
    <vt:lpwstr/>
  </property>
</Properties>
</file>