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C916B" w14:textId="77777777" w:rsidR="00BF399A" w:rsidRDefault="00BF399A" w:rsidP="00BF399A">
      <w:pPr>
        <w:spacing w:line="240" w:lineRule="auto"/>
        <w:rPr>
          <w:b/>
          <w:sz w:val="32"/>
          <w:szCs w:val="32"/>
        </w:rPr>
      </w:pPr>
      <w:r>
        <w:rPr>
          <w:b/>
          <w:sz w:val="32"/>
          <w:szCs w:val="32"/>
        </w:rPr>
        <w:t xml:space="preserve">Paper 9. The 2021 Census Coverage Adjustment </w:t>
      </w:r>
    </w:p>
    <w:p w14:paraId="2BB37616" w14:textId="77777777" w:rsidR="00BF399A" w:rsidRDefault="00BF399A" w:rsidP="00BF399A">
      <w:pPr>
        <w:spacing w:line="240" w:lineRule="auto"/>
        <w:jc w:val="center"/>
        <w:rPr>
          <w:sz w:val="24"/>
          <w:szCs w:val="24"/>
        </w:rPr>
      </w:pPr>
    </w:p>
    <w:p w14:paraId="1EC5F706" w14:textId="77777777" w:rsidR="00BF399A" w:rsidRPr="003076FE" w:rsidRDefault="00BF399A" w:rsidP="00BF399A">
      <w:pPr>
        <w:rPr>
          <w:b/>
          <w:sz w:val="24"/>
          <w:szCs w:val="24"/>
        </w:rPr>
      </w:pPr>
      <w:r>
        <w:rPr>
          <w:b/>
          <w:sz w:val="24"/>
          <w:szCs w:val="24"/>
        </w:rPr>
        <w:t>Context and aims</w:t>
      </w:r>
    </w:p>
    <w:p w14:paraId="2BA255AB" w14:textId="77777777" w:rsidR="00BF399A" w:rsidRDefault="00BF399A" w:rsidP="00BF399A">
      <w:pPr>
        <w:pStyle w:val="Default"/>
        <w:rPr>
          <w:rFonts w:asciiTheme="minorHAnsi" w:eastAsia="Times New Roman" w:hAnsiTheme="minorHAnsi" w:cs="Times New Roman"/>
          <w:lang w:eastAsia="en-GB"/>
        </w:rPr>
      </w:pPr>
      <w:r w:rsidRPr="003076FE">
        <w:rPr>
          <w:rFonts w:asciiTheme="minorHAnsi" w:hAnsiTheme="minorHAnsi"/>
        </w:rPr>
        <w:t>This paper reviews develop</w:t>
      </w:r>
      <w:r>
        <w:rPr>
          <w:rFonts w:asciiTheme="minorHAnsi" w:hAnsiTheme="minorHAnsi"/>
        </w:rPr>
        <w:t>ment of</w:t>
      </w:r>
      <w:r w:rsidRPr="003076FE">
        <w:rPr>
          <w:rFonts w:asciiTheme="minorHAnsi" w:hAnsiTheme="minorHAnsi"/>
        </w:rPr>
        <w:t xml:space="preserve"> the census coverage adjustment methodology for the 2021 Census. The adjustment amends the unit level census database so that it accounts for net under-coverage of both households and people</w:t>
      </w:r>
      <w:r>
        <w:rPr>
          <w:rFonts w:asciiTheme="minorHAnsi" w:hAnsiTheme="minorHAnsi"/>
        </w:rPr>
        <w:t xml:space="preserve">, it </w:t>
      </w:r>
      <w:r w:rsidRPr="003076FE">
        <w:rPr>
          <w:rFonts w:asciiTheme="minorHAnsi" w:hAnsiTheme="minorHAnsi"/>
        </w:rPr>
        <w:t xml:space="preserve">uses an imputation approach with area level population estimates as </w:t>
      </w:r>
      <w:r>
        <w:rPr>
          <w:rFonts w:asciiTheme="minorHAnsi" w:hAnsiTheme="minorHAnsi"/>
        </w:rPr>
        <w:t>benchmarks</w:t>
      </w:r>
      <w:r w:rsidRPr="003076FE">
        <w:rPr>
          <w:rFonts w:asciiTheme="minorHAnsi" w:hAnsiTheme="minorHAnsi"/>
        </w:rPr>
        <w:t xml:space="preserve">. </w:t>
      </w:r>
      <w:r w:rsidRPr="003076FE">
        <w:rPr>
          <w:rFonts w:asciiTheme="minorHAnsi" w:eastAsia="Times New Roman" w:hAnsiTheme="minorHAnsi" w:cs="Times New Roman"/>
          <w:lang w:eastAsia="en-GB"/>
        </w:rPr>
        <w:t>For 2021</w:t>
      </w:r>
      <w:r>
        <w:rPr>
          <w:rFonts w:asciiTheme="minorHAnsi" w:eastAsia="Times New Roman" w:hAnsiTheme="minorHAnsi" w:cs="Times New Roman"/>
          <w:lang w:eastAsia="en-GB"/>
        </w:rPr>
        <w:t>,</w:t>
      </w:r>
      <w:r w:rsidRPr="003076FE">
        <w:rPr>
          <w:rFonts w:asciiTheme="minorHAnsi" w:eastAsia="Times New Roman" w:hAnsiTheme="minorHAnsi" w:cs="Times New Roman"/>
          <w:lang w:eastAsia="en-GB"/>
        </w:rPr>
        <w:t xml:space="preserve"> the adjustment strategy has been designed to </w:t>
      </w:r>
      <w:r w:rsidRPr="003076FE">
        <w:rPr>
          <w:rFonts w:asciiTheme="minorHAnsi" w:hAnsiTheme="minorHAnsi"/>
        </w:rPr>
        <w:t xml:space="preserve">address the practical difficulties that were experienced during implementation of the 2011 methods, and to make best use of the new strategy and outputs from the coverage estimation. Some key </w:t>
      </w:r>
      <w:r w:rsidRPr="003076FE">
        <w:rPr>
          <w:rFonts w:asciiTheme="minorHAnsi" w:eastAsia="Times New Roman" w:hAnsiTheme="minorHAnsi" w:cs="Times New Roman"/>
          <w:lang w:eastAsia="en-GB"/>
        </w:rPr>
        <w:t xml:space="preserve">changes have been made to the methods </w:t>
      </w:r>
      <w:r>
        <w:rPr>
          <w:rFonts w:asciiTheme="minorHAnsi" w:eastAsia="Times New Roman" w:hAnsiTheme="minorHAnsi" w:cs="Times New Roman"/>
          <w:lang w:eastAsia="en-GB"/>
        </w:rPr>
        <w:t xml:space="preserve">to </w:t>
      </w:r>
      <w:r w:rsidRPr="003076FE">
        <w:rPr>
          <w:rFonts w:asciiTheme="minorHAnsi" w:eastAsia="Times New Roman" w:hAnsiTheme="minorHAnsi" w:cs="Times New Roman"/>
          <w:lang w:eastAsia="en-GB"/>
        </w:rPr>
        <w:t xml:space="preserve">improve the </w:t>
      </w:r>
      <w:r>
        <w:rPr>
          <w:rFonts w:asciiTheme="minorHAnsi" w:eastAsia="Times New Roman" w:hAnsiTheme="minorHAnsi" w:cs="Times New Roman"/>
          <w:lang w:eastAsia="en-GB"/>
        </w:rPr>
        <w:t xml:space="preserve">quality and transparency of the </w:t>
      </w:r>
      <w:r w:rsidRPr="003076FE">
        <w:rPr>
          <w:rFonts w:asciiTheme="minorHAnsi" w:eastAsia="Times New Roman" w:hAnsiTheme="minorHAnsi" w:cs="Times New Roman"/>
          <w:lang w:eastAsia="en-GB"/>
        </w:rPr>
        <w:t xml:space="preserve">outputs, and </w:t>
      </w:r>
      <w:r>
        <w:rPr>
          <w:rFonts w:asciiTheme="minorHAnsi" w:eastAsia="Times New Roman" w:hAnsiTheme="minorHAnsi" w:cs="Times New Roman"/>
          <w:lang w:eastAsia="en-GB"/>
        </w:rPr>
        <w:t>to increase</w:t>
      </w:r>
      <w:r w:rsidRPr="003076FE">
        <w:rPr>
          <w:rFonts w:asciiTheme="minorHAnsi" w:eastAsia="Times New Roman" w:hAnsiTheme="minorHAnsi" w:cs="Times New Roman"/>
          <w:lang w:eastAsia="en-GB"/>
        </w:rPr>
        <w:t xml:space="preserve"> the efficiency of the adjustment processing system. </w:t>
      </w:r>
    </w:p>
    <w:p w14:paraId="0DBD50F6" w14:textId="77777777" w:rsidR="00BF399A" w:rsidRDefault="00BF399A" w:rsidP="00BF399A">
      <w:pPr>
        <w:pStyle w:val="Default"/>
        <w:rPr>
          <w:rFonts w:asciiTheme="minorHAnsi" w:eastAsia="Times New Roman" w:hAnsiTheme="minorHAnsi" w:cs="Times New Roman"/>
          <w:lang w:eastAsia="en-GB"/>
        </w:rPr>
      </w:pPr>
    </w:p>
    <w:p w14:paraId="32D7A24E" w14:textId="77777777" w:rsidR="00BF399A" w:rsidRPr="003076FE" w:rsidRDefault="00BF399A" w:rsidP="00BF399A">
      <w:pPr>
        <w:pStyle w:val="Default"/>
        <w:rPr>
          <w:rFonts w:asciiTheme="minorHAnsi" w:hAnsiTheme="minorHAnsi"/>
        </w:rPr>
      </w:pPr>
      <w:r w:rsidRPr="003076FE">
        <w:rPr>
          <w:rFonts w:asciiTheme="minorHAnsi" w:hAnsiTheme="minorHAnsi"/>
        </w:rPr>
        <w:t xml:space="preserve">This </w:t>
      </w:r>
      <w:r>
        <w:rPr>
          <w:rFonts w:asciiTheme="minorHAnsi" w:hAnsiTheme="minorHAnsi"/>
        </w:rPr>
        <w:t xml:space="preserve">update </w:t>
      </w:r>
      <w:r w:rsidRPr="003076FE">
        <w:rPr>
          <w:rFonts w:asciiTheme="minorHAnsi" w:hAnsiTheme="minorHAnsi"/>
        </w:rPr>
        <w:t xml:space="preserve">paper </w:t>
      </w:r>
      <w:r>
        <w:rPr>
          <w:rFonts w:asciiTheme="minorHAnsi" w:hAnsiTheme="minorHAnsi"/>
        </w:rPr>
        <w:t xml:space="preserve">follows the initial strategy paper presented in 2018. It summarises </w:t>
      </w:r>
      <w:r w:rsidRPr="003076FE">
        <w:rPr>
          <w:rFonts w:asciiTheme="minorHAnsi" w:hAnsiTheme="minorHAnsi"/>
        </w:rPr>
        <w:t xml:space="preserve">work undertaken to test the statistical properties of </w:t>
      </w:r>
      <w:r>
        <w:rPr>
          <w:rFonts w:asciiTheme="minorHAnsi" w:hAnsiTheme="minorHAnsi"/>
        </w:rPr>
        <w:t xml:space="preserve">the adjustment </w:t>
      </w:r>
      <w:r w:rsidRPr="003076FE">
        <w:rPr>
          <w:rFonts w:asciiTheme="minorHAnsi" w:hAnsiTheme="minorHAnsi"/>
        </w:rPr>
        <w:t>outputs based on the new methods</w:t>
      </w:r>
      <w:r>
        <w:rPr>
          <w:rFonts w:asciiTheme="minorHAnsi" w:hAnsiTheme="minorHAnsi"/>
        </w:rPr>
        <w:t xml:space="preserve"> and</w:t>
      </w:r>
      <w:r w:rsidRPr="003076FE">
        <w:rPr>
          <w:rFonts w:asciiTheme="minorHAnsi" w:hAnsiTheme="minorHAnsi"/>
        </w:rPr>
        <w:t xml:space="preserve"> outlines how administrative data can be used to </w:t>
      </w:r>
      <w:r>
        <w:rPr>
          <w:rFonts w:asciiTheme="minorHAnsi" w:hAnsiTheme="minorHAnsi"/>
        </w:rPr>
        <w:t>enhance</w:t>
      </w:r>
      <w:r w:rsidRPr="003076FE">
        <w:rPr>
          <w:rFonts w:asciiTheme="minorHAnsi" w:hAnsiTheme="minorHAnsi"/>
        </w:rPr>
        <w:t xml:space="preserve"> the evidence base for these</w:t>
      </w:r>
      <w:r>
        <w:rPr>
          <w:rFonts w:asciiTheme="minorHAnsi" w:hAnsiTheme="minorHAnsi"/>
        </w:rPr>
        <w:t xml:space="preserve"> methods</w:t>
      </w:r>
      <w:r w:rsidRPr="003076FE">
        <w:rPr>
          <w:rFonts w:asciiTheme="minorHAnsi" w:hAnsiTheme="minorHAnsi"/>
        </w:rPr>
        <w:t>. The paper refers to earlier work</w:t>
      </w:r>
      <w:r>
        <w:rPr>
          <w:rFonts w:asciiTheme="minorHAnsi" w:hAnsiTheme="minorHAnsi"/>
        </w:rPr>
        <w:t>,</w:t>
      </w:r>
      <w:r w:rsidRPr="003076FE">
        <w:rPr>
          <w:rFonts w:asciiTheme="minorHAnsi" w:hAnsiTheme="minorHAnsi"/>
        </w:rPr>
        <w:t xml:space="preserve"> providing detail of the underlying methods and describing initial (proof of concept) research. The </w:t>
      </w:r>
      <w:r>
        <w:rPr>
          <w:rFonts w:asciiTheme="minorHAnsi" w:hAnsiTheme="minorHAnsi"/>
        </w:rPr>
        <w:t xml:space="preserve">supporting </w:t>
      </w:r>
      <w:r w:rsidRPr="003076FE">
        <w:rPr>
          <w:rFonts w:asciiTheme="minorHAnsi" w:hAnsiTheme="minorHAnsi"/>
        </w:rPr>
        <w:t xml:space="preserve">papers are provided for ease of reference but do not necessarily need to be read in full.  </w:t>
      </w:r>
    </w:p>
    <w:p w14:paraId="157A5D9F" w14:textId="77777777" w:rsidR="00BF399A" w:rsidRPr="003076FE" w:rsidRDefault="00BF399A" w:rsidP="00BF399A">
      <w:pPr>
        <w:pStyle w:val="Default"/>
        <w:rPr>
          <w:rFonts w:asciiTheme="minorHAnsi" w:hAnsiTheme="minorHAnsi"/>
        </w:rPr>
      </w:pPr>
    </w:p>
    <w:p w14:paraId="12665F57" w14:textId="77777777" w:rsidR="00BF399A" w:rsidRPr="003076FE" w:rsidRDefault="00BF399A" w:rsidP="00BF399A">
      <w:pPr>
        <w:pStyle w:val="Default"/>
        <w:rPr>
          <w:rFonts w:asciiTheme="minorHAnsi" w:hAnsiTheme="minorHAnsi"/>
        </w:rPr>
      </w:pPr>
      <w:r w:rsidRPr="003076FE">
        <w:rPr>
          <w:rFonts w:asciiTheme="minorHAnsi" w:hAnsiTheme="minorHAnsi"/>
        </w:rPr>
        <w:t xml:space="preserve">The </w:t>
      </w:r>
      <w:r>
        <w:rPr>
          <w:rFonts w:asciiTheme="minorHAnsi" w:hAnsiTheme="minorHAnsi"/>
        </w:rPr>
        <w:t>panel</w:t>
      </w:r>
      <w:r w:rsidRPr="003076FE">
        <w:rPr>
          <w:rFonts w:asciiTheme="minorHAnsi" w:hAnsiTheme="minorHAnsi"/>
        </w:rPr>
        <w:t xml:space="preserve"> </w:t>
      </w:r>
      <w:r>
        <w:rPr>
          <w:rFonts w:asciiTheme="minorHAnsi" w:hAnsiTheme="minorHAnsi"/>
        </w:rPr>
        <w:t xml:space="preserve">are </w:t>
      </w:r>
      <w:r w:rsidRPr="003076FE">
        <w:rPr>
          <w:rFonts w:asciiTheme="minorHAnsi" w:hAnsiTheme="minorHAnsi"/>
        </w:rPr>
        <w:t>asked to comment on the strategy, methods and work presented</w:t>
      </w:r>
      <w:r>
        <w:rPr>
          <w:rFonts w:asciiTheme="minorHAnsi" w:hAnsiTheme="minorHAnsi"/>
        </w:rPr>
        <w:t>,</w:t>
      </w:r>
      <w:r w:rsidRPr="003076FE">
        <w:rPr>
          <w:rFonts w:asciiTheme="minorHAnsi" w:hAnsiTheme="minorHAnsi"/>
        </w:rPr>
        <w:t xml:space="preserve"> and </w:t>
      </w:r>
      <w:r>
        <w:rPr>
          <w:rFonts w:asciiTheme="minorHAnsi" w:hAnsiTheme="minorHAnsi"/>
        </w:rPr>
        <w:t xml:space="preserve">to </w:t>
      </w:r>
      <w:r w:rsidRPr="003076FE">
        <w:rPr>
          <w:rFonts w:asciiTheme="minorHAnsi" w:hAnsiTheme="minorHAnsi"/>
        </w:rPr>
        <w:t xml:space="preserve">provide advice on the direction for development of the coverage adjustment methodology. </w:t>
      </w:r>
    </w:p>
    <w:p w14:paraId="7C643BC5" w14:textId="77777777" w:rsidR="00BF399A" w:rsidRDefault="00BF399A" w:rsidP="00BF399A">
      <w:pPr>
        <w:rPr>
          <w:b/>
          <w:sz w:val="24"/>
          <w:szCs w:val="24"/>
        </w:rPr>
      </w:pPr>
    </w:p>
    <w:p w14:paraId="2C55EEBD" w14:textId="77777777" w:rsidR="00BF399A" w:rsidRPr="00967F8D" w:rsidRDefault="00BF399A" w:rsidP="00BF399A">
      <w:pPr>
        <w:rPr>
          <w:b/>
          <w:sz w:val="24"/>
          <w:szCs w:val="24"/>
        </w:rPr>
      </w:pPr>
      <w:r>
        <w:rPr>
          <w:b/>
          <w:sz w:val="24"/>
          <w:szCs w:val="24"/>
        </w:rPr>
        <w:t xml:space="preserve">Specific </w:t>
      </w:r>
      <w:r w:rsidRPr="00967F8D">
        <w:rPr>
          <w:b/>
          <w:sz w:val="24"/>
          <w:szCs w:val="24"/>
        </w:rPr>
        <w:t xml:space="preserve">issues for </w:t>
      </w:r>
      <w:r>
        <w:rPr>
          <w:b/>
          <w:sz w:val="24"/>
          <w:szCs w:val="24"/>
        </w:rPr>
        <w:t>d</w:t>
      </w:r>
      <w:r w:rsidRPr="00967F8D">
        <w:rPr>
          <w:b/>
          <w:sz w:val="24"/>
          <w:szCs w:val="24"/>
        </w:rPr>
        <w:t>iscussion</w:t>
      </w:r>
    </w:p>
    <w:p w14:paraId="77B495C2" w14:textId="77777777" w:rsidR="00BF399A" w:rsidRDefault="00BF399A" w:rsidP="00BF399A">
      <w:pPr>
        <w:rPr>
          <w:b/>
        </w:rPr>
      </w:pPr>
      <w:r>
        <w:rPr>
          <w:b/>
        </w:rPr>
        <w:t>Q1 Should we continue to pursue the two-stage approach?</w:t>
      </w:r>
    </w:p>
    <w:p w14:paraId="65E23028" w14:textId="77777777" w:rsidR="00BF399A" w:rsidRDefault="00BF399A" w:rsidP="00BF399A">
      <w:pPr>
        <w:rPr>
          <w:b/>
        </w:rPr>
      </w:pPr>
      <w:r>
        <w:rPr>
          <w:b/>
        </w:rPr>
        <w:t>Q2 Does the panel have suggestions for how to deal with a scenario where there is net over-coverage for a benchmark variable.</w:t>
      </w:r>
    </w:p>
    <w:p w14:paraId="315E51F6" w14:textId="77777777" w:rsidR="00BF399A" w:rsidRDefault="00BF399A" w:rsidP="00BF399A">
      <w:pPr>
        <w:rPr>
          <w:b/>
        </w:rPr>
      </w:pPr>
      <w:r>
        <w:rPr>
          <w:b/>
        </w:rPr>
        <w:t xml:space="preserve">Q3 Does the panel agree that Combinatorial Optimisation is the preferred method for selecting donors? </w:t>
      </w:r>
    </w:p>
    <w:p w14:paraId="0A7B25A2" w14:textId="77777777" w:rsidR="00BF399A" w:rsidRDefault="00BF399A" w:rsidP="00BF399A">
      <w:pPr>
        <w:rPr>
          <w:b/>
        </w:rPr>
      </w:pPr>
      <w:r>
        <w:rPr>
          <w:b/>
        </w:rPr>
        <w:t xml:space="preserve">Q4 Are we making best use of administrative data in our plans? </w:t>
      </w:r>
    </w:p>
    <w:p w14:paraId="315F7478" w14:textId="77777777" w:rsidR="00BF399A" w:rsidRDefault="00BF399A" w:rsidP="00BF399A">
      <w:pPr>
        <w:rPr>
          <w:b/>
        </w:rPr>
      </w:pPr>
      <w:r>
        <w:rPr>
          <w:b/>
        </w:rPr>
        <w:t>Q5 Does the panel have any further suggestions for improving the census coverage adjustment?</w:t>
      </w:r>
    </w:p>
    <w:p w14:paraId="3603F769" w14:textId="77777777" w:rsidR="00BF399A" w:rsidRDefault="00BF399A" w:rsidP="00BF399A"/>
    <w:p w14:paraId="51374C7D" w14:textId="77777777" w:rsidR="00BF399A" w:rsidRDefault="00BF399A" w:rsidP="00BF399A">
      <w:pPr>
        <w:rPr>
          <w:rFonts w:ascii="Calibri" w:eastAsia="Times New Roman" w:hAnsi="Calibri" w:cs="Times New Roman"/>
          <w:lang w:eastAsia="en-GB"/>
        </w:rPr>
      </w:pPr>
      <w:r>
        <w:rPr>
          <w:rFonts w:ascii="Calibri" w:eastAsia="Times New Roman" w:hAnsi="Calibri" w:cs="Times New Roman"/>
          <w:lang w:eastAsia="en-GB"/>
        </w:rPr>
        <w:br w:type="page"/>
      </w:r>
    </w:p>
    <w:p w14:paraId="517E2CFA" w14:textId="77777777" w:rsidR="00BF399A" w:rsidRDefault="00BF399A" w:rsidP="00BF399A">
      <w:pPr>
        <w:spacing w:line="240" w:lineRule="auto"/>
        <w:jc w:val="center"/>
        <w:rPr>
          <w:b/>
          <w:sz w:val="32"/>
          <w:szCs w:val="32"/>
        </w:rPr>
      </w:pPr>
      <w:r>
        <w:rPr>
          <w:b/>
          <w:sz w:val="32"/>
          <w:szCs w:val="32"/>
        </w:rPr>
        <w:lastRenderedPageBreak/>
        <w:t>The 2021 Census Coverage Adjustment Strategy Update</w:t>
      </w:r>
    </w:p>
    <w:p w14:paraId="70905D4A" w14:textId="77777777" w:rsidR="00BF399A" w:rsidRDefault="00BF399A" w:rsidP="00BF399A">
      <w:pPr>
        <w:spacing w:line="240" w:lineRule="auto"/>
        <w:jc w:val="center"/>
        <w:rPr>
          <w:b/>
          <w:sz w:val="28"/>
          <w:szCs w:val="28"/>
        </w:rPr>
      </w:pPr>
      <w:r>
        <w:rPr>
          <w:b/>
          <w:sz w:val="28"/>
          <w:szCs w:val="28"/>
        </w:rPr>
        <w:t>External Assurance Panel (October 2019)</w:t>
      </w:r>
    </w:p>
    <w:p w14:paraId="6D57E45B" w14:textId="77777777" w:rsidR="00BF399A" w:rsidRDefault="00BF399A" w:rsidP="00BF399A">
      <w:pPr>
        <w:spacing w:line="240" w:lineRule="auto"/>
        <w:jc w:val="center"/>
        <w:rPr>
          <w:sz w:val="24"/>
          <w:szCs w:val="24"/>
        </w:rPr>
      </w:pPr>
      <w:r>
        <w:rPr>
          <w:sz w:val="24"/>
          <w:szCs w:val="24"/>
        </w:rPr>
        <w:t>Alison Whitworth, Kirsten Piller, Rajni Sandhu and Andrew Penn</w:t>
      </w:r>
    </w:p>
    <w:p w14:paraId="5FE0564A" w14:textId="77777777" w:rsidR="00BF399A" w:rsidRDefault="00BF399A" w:rsidP="00BF399A">
      <w:pPr>
        <w:spacing w:after="0" w:line="240" w:lineRule="auto"/>
        <w:rPr>
          <w:rFonts w:ascii="Calibri" w:eastAsia="Times New Roman" w:hAnsi="Calibri" w:cs="Times New Roman"/>
          <w:b/>
          <w:sz w:val="24"/>
          <w:szCs w:val="24"/>
          <w:lang w:eastAsia="en-GB"/>
        </w:rPr>
      </w:pPr>
    </w:p>
    <w:p w14:paraId="3C5B4FFE" w14:textId="77777777" w:rsidR="00BF399A" w:rsidRPr="002B5D52" w:rsidRDefault="00BF399A" w:rsidP="00BF399A">
      <w:pPr>
        <w:spacing w:after="0" w:line="240" w:lineRule="auto"/>
        <w:rPr>
          <w:rFonts w:ascii="Calibri" w:eastAsia="Times New Roman" w:hAnsi="Calibri" w:cs="Times New Roman"/>
          <w:b/>
          <w:sz w:val="24"/>
          <w:szCs w:val="24"/>
          <w:lang w:eastAsia="en-GB"/>
        </w:rPr>
      </w:pPr>
      <w:r w:rsidRPr="002B5D52">
        <w:rPr>
          <w:rFonts w:ascii="Calibri" w:eastAsia="Times New Roman" w:hAnsi="Calibri" w:cs="Times New Roman"/>
          <w:b/>
          <w:sz w:val="24"/>
          <w:szCs w:val="24"/>
          <w:lang w:eastAsia="en-GB"/>
        </w:rPr>
        <w:t>Introduction</w:t>
      </w:r>
      <w:r>
        <w:rPr>
          <w:rFonts w:ascii="Calibri" w:eastAsia="Times New Roman" w:hAnsi="Calibri" w:cs="Times New Roman"/>
          <w:b/>
          <w:sz w:val="24"/>
          <w:szCs w:val="24"/>
          <w:lang w:eastAsia="en-GB"/>
        </w:rPr>
        <w:t>.</w:t>
      </w:r>
    </w:p>
    <w:p w14:paraId="16188776" w14:textId="77777777" w:rsidR="00BF399A" w:rsidRPr="00611FFB" w:rsidRDefault="00BF399A" w:rsidP="00BF399A">
      <w:pPr>
        <w:spacing w:after="0" w:line="240" w:lineRule="auto"/>
        <w:rPr>
          <w:sz w:val="24"/>
          <w:szCs w:val="24"/>
        </w:rPr>
      </w:pPr>
      <w:r w:rsidRPr="00611FFB">
        <w:rPr>
          <w:sz w:val="24"/>
          <w:szCs w:val="24"/>
        </w:rPr>
        <w:t xml:space="preserve">The purpose of the census coverage adjustment is to amend the unit level Census database so that it is consistent with the population estimates derived from the Coverage Estimation process, and robust estimates can be obtained for lower level geographies. Historically the adjustment has been made to account for Census under coverage of both households and people.  </w:t>
      </w:r>
    </w:p>
    <w:p w14:paraId="46117895" w14:textId="77777777" w:rsidR="00BF399A" w:rsidRPr="00611FFB" w:rsidRDefault="00BF399A" w:rsidP="00BF399A">
      <w:pPr>
        <w:spacing w:after="0" w:line="240" w:lineRule="auto"/>
        <w:ind w:left="540"/>
        <w:rPr>
          <w:rFonts w:ascii="Calibri" w:eastAsia="Times New Roman" w:hAnsi="Calibri" w:cs="Times New Roman"/>
          <w:sz w:val="24"/>
          <w:szCs w:val="24"/>
          <w:lang w:eastAsia="en-GB"/>
        </w:rPr>
      </w:pPr>
    </w:p>
    <w:p w14:paraId="274BC73E" w14:textId="77777777" w:rsidR="00BF399A" w:rsidRDefault="00BF399A" w:rsidP="00BF399A">
      <w:pPr>
        <w:spacing w:after="0" w:line="240" w:lineRule="auto"/>
        <w:rPr>
          <w:sz w:val="24"/>
          <w:szCs w:val="24"/>
        </w:rPr>
      </w:pPr>
      <w:r w:rsidRPr="00611FFB">
        <w:rPr>
          <w:rFonts w:ascii="Calibri" w:eastAsia="Times New Roman" w:hAnsi="Calibri" w:cs="Times New Roman"/>
          <w:sz w:val="24"/>
          <w:szCs w:val="24"/>
          <w:lang w:eastAsia="en-GB"/>
        </w:rPr>
        <w:t xml:space="preserve">The strategy for the 2021 Census is described </w:t>
      </w:r>
      <w:r>
        <w:rPr>
          <w:rFonts w:ascii="Calibri" w:eastAsia="Times New Roman" w:hAnsi="Calibri" w:cs="Times New Roman"/>
          <w:sz w:val="24"/>
          <w:szCs w:val="24"/>
          <w:lang w:eastAsia="en-GB"/>
        </w:rPr>
        <w:t>by</w:t>
      </w:r>
      <w:r w:rsidRPr="00611FFB">
        <w:rPr>
          <w:rFonts w:ascii="Calibri" w:eastAsia="Times New Roman" w:hAnsi="Calibri" w:cs="Times New Roman"/>
          <w:sz w:val="24"/>
          <w:szCs w:val="24"/>
          <w:lang w:eastAsia="en-GB"/>
        </w:rPr>
        <w:t xml:space="preserve"> </w:t>
      </w:r>
      <w:r w:rsidRPr="00611FFB">
        <w:rPr>
          <w:sz w:val="24"/>
          <w:szCs w:val="24"/>
        </w:rPr>
        <w:t xml:space="preserve">Whitworth et al </w:t>
      </w:r>
      <w:r>
        <w:rPr>
          <w:sz w:val="24"/>
          <w:szCs w:val="24"/>
        </w:rPr>
        <w:t>(</w:t>
      </w:r>
      <w:r w:rsidRPr="00611FFB">
        <w:rPr>
          <w:sz w:val="24"/>
          <w:szCs w:val="24"/>
        </w:rPr>
        <w:t xml:space="preserve">2018) </w:t>
      </w:r>
      <w:r w:rsidRPr="00611FFB">
        <w:rPr>
          <w:rFonts w:ascii="Calibri" w:eastAsia="Times New Roman" w:hAnsi="Calibri" w:cs="Times New Roman"/>
          <w:sz w:val="24"/>
          <w:szCs w:val="24"/>
          <w:lang w:eastAsia="en-GB"/>
        </w:rPr>
        <w:t xml:space="preserve">and was presented at the September 2018 external assurance panel meeting. </w:t>
      </w:r>
      <w:r>
        <w:rPr>
          <w:rFonts w:ascii="Calibri" w:eastAsia="Times New Roman" w:hAnsi="Calibri" w:cs="Times New Roman"/>
          <w:sz w:val="24"/>
          <w:szCs w:val="24"/>
          <w:lang w:eastAsia="en-GB"/>
        </w:rPr>
        <w:t>The paper gi</w:t>
      </w:r>
      <w:r w:rsidRPr="00611FFB">
        <w:rPr>
          <w:rFonts w:ascii="Calibri" w:eastAsia="Times New Roman" w:hAnsi="Calibri" w:cs="Times New Roman"/>
          <w:sz w:val="24"/>
          <w:szCs w:val="24"/>
          <w:lang w:eastAsia="en-GB"/>
        </w:rPr>
        <w:t>ve</w:t>
      </w:r>
      <w:r>
        <w:rPr>
          <w:rFonts w:ascii="Calibri" w:eastAsia="Times New Roman" w:hAnsi="Calibri" w:cs="Times New Roman"/>
          <w:sz w:val="24"/>
          <w:szCs w:val="24"/>
          <w:lang w:eastAsia="en-GB"/>
        </w:rPr>
        <w:t>s</w:t>
      </w:r>
      <w:r w:rsidRPr="00611FFB">
        <w:rPr>
          <w:rFonts w:ascii="Calibri" w:eastAsia="Times New Roman" w:hAnsi="Calibri" w:cs="Times New Roman"/>
          <w:sz w:val="24"/>
          <w:szCs w:val="24"/>
          <w:lang w:eastAsia="en-GB"/>
        </w:rPr>
        <w:t xml:space="preserve"> a summary description of the 2011 methods and explain</w:t>
      </w:r>
      <w:r>
        <w:rPr>
          <w:rFonts w:ascii="Calibri" w:eastAsia="Times New Roman" w:hAnsi="Calibri" w:cs="Times New Roman"/>
          <w:sz w:val="24"/>
          <w:szCs w:val="24"/>
          <w:lang w:eastAsia="en-GB"/>
        </w:rPr>
        <w:t>s</w:t>
      </w:r>
      <w:r w:rsidRPr="00611FFB">
        <w:rPr>
          <w:rFonts w:ascii="Calibri" w:eastAsia="Times New Roman" w:hAnsi="Calibri" w:cs="Times New Roman"/>
          <w:sz w:val="24"/>
          <w:szCs w:val="24"/>
          <w:lang w:eastAsia="en-GB"/>
        </w:rPr>
        <w:t xml:space="preserve"> the changes planned for the 2021 Census.  The change in methods have been designed to </w:t>
      </w:r>
      <w:r w:rsidRPr="00611FFB">
        <w:rPr>
          <w:sz w:val="24"/>
          <w:szCs w:val="24"/>
        </w:rPr>
        <w:t>address the practical difficulties that were experienced during implementation of the 2011 methods, and</w:t>
      </w:r>
      <w:r>
        <w:rPr>
          <w:sz w:val="24"/>
          <w:szCs w:val="24"/>
        </w:rPr>
        <w:t xml:space="preserve"> to make best use of </w:t>
      </w:r>
      <w:r w:rsidRPr="00611FFB">
        <w:rPr>
          <w:sz w:val="24"/>
          <w:szCs w:val="24"/>
        </w:rPr>
        <w:t>the new strategy and outputs from the coverage estimation.</w:t>
      </w:r>
      <w:r>
        <w:rPr>
          <w:sz w:val="24"/>
          <w:szCs w:val="24"/>
        </w:rPr>
        <w:t xml:space="preserve"> </w:t>
      </w:r>
      <w:r w:rsidRPr="00611FFB">
        <w:rPr>
          <w:sz w:val="24"/>
          <w:szCs w:val="24"/>
        </w:rPr>
        <w:t xml:space="preserve"> It</w:t>
      </w:r>
      <w:r>
        <w:rPr>
          <w:sz w:val="24"/>
          <w:szCs w:val="24"/>
        </w:rPr>
        <w:t xml:space="preserve"> </w:t>
      </w:r>
      <w:r w:rsidRPr="00611FFB">
        <w:rPr>
          <w:sz w:val="24"/>
          <w:szCs w:val="24"/>
        </w:rPr>
        <w:t>assum</w:t>
      </w:r>
      <w:r>
        <w:rPr>
          <w:sz w:val="24"/>
          <w:szCs w:val="24"/>
        </w:rPr>
        <w:t>es</w:t>
      </w:r>
      <w:r w:rsidRPr="00611FFB">
        <w:rPr>
          <w:sz w:val="24"/>
          <w:szCs w:val="24"/>
        </w:rPr>
        <w:t xml:space="preserve"> that census population estimates are provided from coverage estimation for a variety of basic demographic characteristics for both households and individuals in </w:t>
      </w:r>
      <w:r>
        <w:rPr>
          <w:sz w:val="24"/>
          <w:szCs w:val="24"/>
        </w:rPr>
        <w:t>l</w:t>
      </w:r>
      <w:r w:rsidRPr="00611FFB">
        <w:rPr>
          <w:sz w:val="24"/>
          <w:szCs w:val="24"/>
        </w:rPr>
        <w:t xml:space="preserve">ocal </w:t>
      </w:r>
      <w:r>
        <w:rPr>
          <w:sz w:val="24"/>
          <w:szCs w:val="24"/>
        </w:rPr>
        <w:t>a</w:t>
      </w:r>
      <w:r w:rsidRPr="00611FFB">
        <w:rPr>
          <w:sz w:val="24"/>
          <w:szCs w:val="24"/>
        </w:rPr>
        <w:t xml:space="preserve">uthority </w:t>
      </w:r>
      <w:r>
        <w:rPr>
          <w:sz w:val="24"/>
          <w:szCs w:val="24"/>
        </w:rPr>
        <w:t xml:space="preserve">(LA) </w:t>
      </w:r>
      <w:r w:rsidRPr="00611FFB">
        <w:rPr>
          <w:sz w:val="24"/>
          <w:szCs w:val="24"/>
        </w:rPr>
        <w:t>areas, and that these estimates account for patterns of under and over coverage that are typically concentrated within geographical areas and across population subgroups.</w:t>
      </w:r>
    </w:p>
    <w:p w14:paraId="21276A92" w14:textId="77777777" w:rsidR="00BF399A" w:rsidRDefault="00BF399A" w:rsidP="00BF399A">
      <w:pPr>
        <w:spacing w:after="0" w:line="240" w:lineRule="auto"/>
        <w:rPr>
          <w:sz w:val="24"/>
          <w:szCs w:val="24"/>
        </w:rPr>
      </w:pPr>
    </w:p>
    <w:p w14:paraId="00301CBD" w14:textId="77777777" w:rsidR="00BF399A" w:rsidRPr="00701ACF" w:rsidRDefault="00BF399A" w:rsidP="00BF399A">
      <w:pPr>
        <w:spacing w:after="0" w:line="240" w:lineRule="auto"/>
        <w:rPr>
          <w:sz w:val="24"/>
          <w:szCs w:val="24"/>
        </w:rPr>
      </w:pPr>
      <w:r w:rsidRPr="00EB6102">
        <w:rPr>
          <w:sz w:val="24"/>
          <w:szCs w:val="24"/>
        </w:rPr>
        <w:t xml:space="preserve">Summary of the 2021 adjustment system: </w:t>
      </w:r>
    </w:p>
    <w:p w14:paraId="50CB2CE4" w14:textId="77777777" w:rsidR="00BF399A" w:rsidRPr="00F00088" w:rsidRDefault="00BF399A" w:rsidP="00BF399A">
      <w:pPr>
        <w:spacing w:after="0" w:line="240" w:lineRule="auto"/>
        <w:rPr>
          <w:sz w:val="24"/>
          <w:szCs w:val="24"/>
        </w:rPr>
      </w:pPr>
      <w:r w:rsidRPr="00F00088">
        <w:rPr>
          <w:rFonts w:eastAsiaTheme="minorEastAsia"/>
          <w:kern w:val="24"/>
          <w:sz w:val="24"/>
          <w:szCs w:val="24"/>
        </w:rPr>
        <w:t>Stage 1.  Impute missed households (and persons within them) using the following steps</w:t>
      </w:r>
      <w:r>
        <w:rPr>
          <w:rFonts w:eastAsiaTheme="minorEastAsia"/>
          <w:kern w:val="24"/>
          <w:sz w:val="24"/>
          <w:szCs w:val="24"/>
        </w:rPr>
        <w:t>.</w:t>
      </w:r>
    </w:p>
    <w:p w14:paraId="1D860372" w14:textId="77777777" w:rsidR="00BF399A" w:rsidRPr="00F00088" w:rsidRDefault="00BF399A" w:rsidP="00BF399A">
      <w:pPr>
        <w:pStyle w:val="ListParagraph"/>
        <w:numPr>
          <w:ilvl w:val="0"/>
          <w:numId w:val="9"/>
        </w:numPr>
        <w:spacing w:after="0" w:line="240" w:lineRule="auto"/>
        <w:rPr>
          <w:rFonts w:eastAsiaTheme="minorEastAsia"/>
          <w:kern w:val="24"/>
          <w:sz w:val="24"/>
          <w:szCs w:val="24"/>
        </w:rPr>
      </w:pPr>
      <w:r w:rsidRPr="00F00088">
        <w:rPr>
          <w:rFonts w:eastAsiaTheme="minorEastAsia"/>
          <w:kern w:val="24"/>
          <w:sz w:val="24"/>
          <w:szCs w:val="24"/>
        </w:rPr>
        <w:t>Derive integer benchmarks for population and household totals by key demographic characteristics that represent the missed households and people within them, using the coverage weights provided by the initial coverage estimation system</w:t>
      </w:r>
      <w:r>
        <w:rPr>
          <w:rFonts w:eastAsiaTheme="minorEastAsia"/>
          <w:kern w:val="24"/>
          <w:sz w:val="24"/>
          <w:szCs w:val="24"/>
        </w:rPr>
        <w:t xml:space="preserve"> and rounding.</w:t>
      </w:r>
    </w:p>
    <w:p w14:paraId="393EDB65" w14:textId="77777777" w:rsidR="00BF399A" w:rsidRPr="00F00088" w:rsidRDefault="00BF399A" w:rsidP="00BF399A">
      <w:pPr>
        <w:pStyle w:val="ListParagraph"/>
        <w:numPr>
          <w:ilvl w:val="0"/>
          <w:numId w:val="9"/>
        </w:numPr>
        <w:spacing w:after="0" w:line="240" w:lineRule="auto"/>
        <w:rPr>
          <w:rFonts w:eastAsiaTheme="minorEastAsia"/>
          <w:kern w:val="24"/>
          <w:sz w:val="24"/>
          <w:szCs w:val="24"/>
        </w:rPr>
      </w:pPr>
      <w:r w:rsidRPr="00F00088">
        <w:rPr>
          <w:rFonts w:eastAsiaTheme="minorEastAsia"/>
          <w:kern w:val="24"/>
          <w:sz w:val="24"/>
          <w:szCs w:val="24"/>
        </w:rPr>
        <w:t xml:space="preserve">Select donor households using the </w:t>
      </w:r>
      <w:r>
        <w:rPr>
          <w:rFonts w:eastAsiaTheme="minorEastAsia"/>
          <w:kern w:val="24"/>
          <w:sz w:val="24"/>
          <w:szCs w:val="24"/>
        </w:rPr>
        <w:t>C</w:t>
      </w:r>
      <w:r w:rsidRPr="00F00088">
        <w:rPr>
          <w:rFonts w:eastAsiaTheme="minorEastAsia"/>
          <w:kern w:val="24"/>
          <w:sz w:val="24"/>
          <w:szCs w:val="24"/>
        </w:rPr>
        <w:t xml:space="preserve">ombinatorial </w:t>
      </w:r>
      <w:r>
        <w:rPr>
          <w:rFonts w:eastAsiaTheme="minorEastAsia"/>
          <w:kern w:val="24"/>
          <w:sz w:val="24"/>
          <w:szCs w:val="24"/>
        </w:rPr>
        <w:t>O</w:t>
      </w:r>
      <w:r w:rsidRPr="00F00088">
        <w:rPr>
          <w:rFonts w:eastAsiaTheme="minorEastAsia"/>
          <w:kern w:val="24"/>
          <w:sz w:val="24"/>
          <w:szCs w:val="24"/>
        </w:rPr>
        <w:t xml:space="preserve">ptimisation </w:t>
      </w:r>
      <w:r>
        <w:rPr>
          <w:rFonts w:eastAsiaTheme="minorEastAsia"/>
          <w:kern w:val="24"/>
          <w:sz w:val="24"/>
          <w:szCs w:val="24"/>
        </w:rPr>
        <w:t xml:space="preserve">(CO) </w:t>
      </w:r>
      <w:r w:rsidRPr="00F00088">
        <w:rPr>
          <w:rFonts w:eastAsiaTheme="minorEastAsia"/>
          <w:kern w:val="24"/>
          <w:sz w:val="24"/>
          <w:szCs w:val="24"/>
        </w:rPr>
        <w:t>methods, ensuring the benchmarks in 1 above are maintained</w:t>
      </w:r>
      <w:r>
        <w:rPr>
          <w:rFonts w:eastAsiaTheme="minorEastAsia"/>
          <w:kern w:val="24"/>
          <w:sz w:val="24"/>
          <w:szCs w:val="24"/>
        </w:rPr>
        <w:t xml:space="preserve"> as nearly as possible.</w:t>
      </w:r>
    </w:p>
    <w:p w14:paraId="3B738743" w14:textId="77777777" w:rsidR="00BF399A" w:rsidRPr="00F00088" w:rsidRDefault="00BF399A" w:rsidP="00BF399A">
      <w:pPr>
        <w:pStyle w:val="ListParagraph"/>
        <w:numPr>
          <w:ilvl w:val="0"/>
          <w:numId w:val="9"/>
        </w:numPr>
        <w:spacing w:after="0" w:line="240" w:lineRule="auto"/>
        <w:rPr>
          <w:rFonts w:eastAsiaTheme="minorEastAsia"/>
          <w:kern w:val="24"/>
          <w:sz w:val="24"/>
          <w:szCs w:val="24"/>
        </w:rPr>
      </w:pPr>
      <w:r w:rsidRPr="00F00088">
        <w:rPr>
          <w:rFonts w:eastAsiaTheme="minorEastAsia"/>
          <w:kern w:val="24"/>
          <w:sz w:val="24"/>
          <w:szCs w:val="24"/>
        </w:rPr>
        <w:t>Place the donor households in an appropriate postcode</w:t>
      </w:r>
      <w:r>
        <w:rPr>
          <w:rFonts w:eastAsiaTheme="minorEastAsia"/>
          <w:kern w:val="24"/>
          <w:sz w:val="24"/>
          <w:szCs w:val="24"/>
        </w:rPr>
        <w:t>.</w:t>
      </w:r>
    </w:p>
    <w:p w14:paraId="5A18D973" w14:textId="77777777" w:rsidR="00BF399A" w:rsidRPr="00F00088" w:rsidRDefault="00BF399A" w:rsidP="00BF399A">
      <w:pPr>
        <w:spacing w:after="0" w:line="240" w:lineRule="auto"/>
        <w:rPr>
          <w:sz w:val="24"/>
          <w:szCs w:val="24"/>
        </w:rPr>
      </w:pPr>
    </w:p>
    <w:p w14:paraId="065AEEE4" w14:textId="77777777" w:rsidR="00BF399A" w:rsidRDefault="00BF399A" w:rsidP="00BF399A">
      <w:pPr>
        <w:spacing w:after="0" w:line="240" w:lineRule="auto"/>
        <w:rPr>
          <w:sz w:val="24"/>
          <w:szCs w:val="24"/>
        </w:rPr>
      </w:pPr>
      <w:r w:rsidRPr="00F00088">
        <w:rPr>
          <w:rFonts w:eastAsiaTheme="minorEastAsia"/>
          <w:kern w:val="24"/>
          <w:sz w:val="24"/>
          <w:szCs w:val="24"/>
        </w:rPr>
        <w:t>Stage 2.  Impute characteristic variables for the persons and households imputed in stage 1</w:t>
      </w:r>
      <w:r>
        <w:rPr>
          <w:rFonts w:eastAsiaTheme="minorEastAsia"/>
          <w:kern w:val="24"/>
          <w:sz w:val="24"/>
          <w:szCs w:val="24"/>
        </w:rPr>
        <w:t>.</w:t>
      </w:r>
    </w:p>
    <w:p w14:paraId="698B59B2" w14:textId="77777777" w:rsidR="00BF399A" w:rsidRPr="00EB6102" w:rsidRDefault="00BF399A" w:rsidP="00BF399A">
      <w:pPr>
        <w:spacing w:after="0" w:line="240" w:lineRule="auto"/>
        <w:rPr>
          <w:sz w:val="24"/>
          <w:szCs w:val="24"/>
        </w:rPr>
      </w:pPr>
    </w:p>
    <w:p w14:paraId="21FCFCB3" w14:textId="77777777" w:rsidR="00BF399A" w:rsidRDefault="00BF399A" w:rsidP="00BF399A">
      <w:pPr>
        <w:spacing w:line="240" w:lineRule="auto"/>
        <w:rPr>
          <w:i/>
          <w:color w:val="F79646" w:themeColor="accent6"/>
          <w:sz w:val="24"/>
          <w:szCs w:val="24"/>
        </w:rPr>
      </w:pPr>
      <w:r>
        <w:rPr>
          <w:sz w:val="24"/>
          <w:szCs w:val="24"/>
        </w:rPr>
        <w:t xml:space="preserve">The justification for simplifying to a two-stage process is that persons missed in counted households will be implicitly corrected through the selection, and placement, of donor households that account for both individual and household characteristic benchmarks. So, for example if a man is missed from a household with a woman and child, instead of imputing a man into an existing two-person household, we impute a three-person household and omit imputation of a two-person household to compensate. The aim is to obtain representative aggregate level population totals rather than an accurate unit level data base. It also reduces </w:t>
      </w:r>
      <w:r>
        <w:rPr>
          <w:sz w:val="24"/>
          <w:szCs w:val="24"/>
        </w:rPr>
        <w:lastRenderedPageBreak/>
        <w:t>complexity in the methodology, and therefore the risk of problems like those experienced in 2011.</w:t>
      </w:r>
    </w:p>
    <w:p w14:paraId="01771C3F" w14:textId="77777777" w:rsidR="00BF399A" w:rsidRDefault="00BF399A" w:rsidP="00BF399A">
      <w:pPr>
        <w:spacing w:line="240" w:lineRule="auto"/>
        <w:rPr>
          <w:sz w:val="24"/>
          <w:szCs w:val="24"/>
        </w:rPr>
      </w:pPr>
      <w:r>
        <w:rPr>
          <w:sz w:val="24"/>
          <w:szCs w:val="24"/>
        </w:rPr>
        <w:t>In stage 2 imputation of the remaining characteristic variables will be completed using CANadian Census Edit and Imputation System (CANCEIS) methods. While it would be possible to take all the values from a donor record, the values for the remaining characteristics aren’t controlled for by CO so would be less informed.</w:t>
      </w:r>
    </w:p>
    <w:p w14:paraId="51835FB9" w14:textId="77777777" w:rsidR="00BF399A" w:rsidRPr="00490DDD" w:rsidRDefault="00BF399A" w:rsidP="00BF399A">
      <w:pPr>
        <w:spacing w:after="0" w:line="240" w:lineRule="auto"/>
        <w:rPr>
          <w:sz w:val="24"/>
          <w:szCs w:val="24"/>
        </w:rPr>
      </w:pPr>
      <w:r w:rsidRPr="00611FFB">
        <w:rPr>
          <w:rFonts w:ascii="Calibri" w:eastAsia="Times New Roman" w:hAnsi="Calibri" w:cs="Times New Roman"/>
          <w:sz w:val="24"/>
          <w:szCs w:val="24"/>
          <w:lang w:eastAsia="en-GB"/>
        </w:rPr>
        <w:t xml:space="preserve">The key differences to the methods used for the 2011 </w:t>
      </w:r>
      <w:r>
        <w:rPr>
          <w:rFonts w:ascii="Calibri" w:eastAsia="Times New Roman" w:hAnsi="Calibri" w:cs="Times New Roman"/>
          <w:sz w:val="24"/>
          <w:szCs w:val="24"/>
          <w:lang w:eastAsia="en-GB"/>
        </w:rPr>
        <w:t>C</w:t>
      </w:r>
      <w:r w:rsidRPr="00611FFB">
        <w:rPr>
          <w:rFonts w:ascii="Calibri" w:eastAsia="Times New Roman" w:hAnsi="Calibri" w:cs="Times New Roman"/>
          <w:sz w:val="24"/>
          <w:szCs w:val="24"/>
          <w:lang w:eastAsia="en-GB"/>
        </w:rPr>
        <w:t>ensus are:</w:t>
      </w:r>
    </w:p>
    <w:p w14:paraId="37FC16F2" w14:textId="77777777" w:rsidR="00BF399A" w:rsidRPr="00611FFB" w:rsidRDefault="00BF399A" w:rsidP="00BF399A">
      <w:pPr>
        <w:numPr>
          <w:ilvl w:val="0"/>
          <w:numId w:val="1"/>
        </w:numPr>
        <w:tabs>
          <w:tab w:val="clear" w:pos="720"/>
          <w:tab w:val="num" w:pos="-720"/>
        </w:tabs>
        <w:spacing w:after="0" w:line="240" w:lineRule="auto"/>
        <w:ind w:left="527" w:hanging="357"/>
        <w:textAlignment w:val="center"/>
        <w:rPr>
          <w:rFonts w:ascii="Calibri" w:eastAsia="Times New Roman" w:hAnsi="Calibri" w:cs="Times New Roman"/>
          <w:sz w:val="24"/>
          <w:szCs w:val="24"/>
          <w:lang w:eastAsia="en-GB"/>
        </w:rPr>
      </w:pPr>
      <w:r w:rsidRPr="00611FFB">
        <w:rPr>
          <w:rFonts w:ascii="Calibri" w:eastAsia="Times New Roman" w:hAnsi="Calibri" w:cs="Times New Roman"/>
          <w:sz w:val="24"/>
          <w:szCs w:val="24"/>
          <w:lang w:eastAsia="en-GB"/>
        </w:rPr>
        <w:t>Use of a two</w:t>
      </w:r>
      <w:r>
        <w:rPr>
          <w:rFonts w:ascii="Calibri" w:eastAsia="Times New Roman" w:hAnsi="Calibri" w:cs="Times New Roman"/>
          <w:sz w:val="24"/>
          <w:szCs w:val="24"/>
          <w:lang w:eastAsia="en-GB"/>
        </w:rPr>
        <w:t>-</w:t>
      </w:r>
      <w:r w:rsidRPr="00611FFB">
        <w:rPr>
          <w:rFonts w:ascii="Calibri" w:eastAsia="Times New Roman" w:hAnsi="Calibri" w:cs="Times New Roman"/>
          <w:sz w:val="24"/>
          <w:szCs w:val="24"/>
          <w:lang w:eastAsia="en-GB"/>
        </w:rPr>
        <w:t xml:space="preserve">stage approach where we </w:t>
      </w:r>
      <w:r>
        <w:rPr>
          <w:rFonts w:ascii="Calibri" w:eastAsia="Times New Roman" w:hAnsi="Calibri" w:cs="Times New Roman"/>
          <w:sz w:val="24"/>
          <w:szCs w:val="24"/>
          <w:lang w:eastAsia="en-GB"/>
        </w:rPr>
        <w:t>impute</w:t>
      </w:r>
      <w:r w:rsidRPr="00611FFB">
        <w:rPr>
          <w:rFonts w:ascii="Calibri" w:eastAsia="Times New Roman" w:hAnsi="Calibri" w:cs="Times New Roman"/>
          <w:sz w:val="24"/>
          <w:szCs w:val="24"/>
          <w:lang w:eastAsia="en-GB"/>
        </w:rPr>
        <w:t xml:space="preserve"> donors that represent missed households in order to meet the coverage estimation LA benchmarks for both households and persons, and </w:t>
      </w:r>
      <w:r>
        <w:rPr>
          <w:rFonts w:ascii="Calibri" w:eastAsia="Times New Roman" w:hAnsi="Calibri" w:cs="Times New Roman"/>
          <w:sz w:val="24"/>
          <w:szCs w:val="24"/>
          <w:lang w:eastAsia="en-GB"/>
        </w:rPr>
        <w:t>then impute the characteristic variables for these persons and households</w:t>
      </w:r>
      <w:r w:rsidRPr="00611FFB">
        <w:rPr>
          <w:rFonts w:ascii="Calibri" w:eastAsia="Times New Roman" w:hAnsi="Calibri" w:cs="Times New Roman"/>
          <w:sz w:val="24"/>
          <w:szCs w:val="24"/>
          <w:lang w:eastAsia="en-GB"/>
        </w:rPr>
        <w:t>. In 2011 a three</w:t>
      </w:r>
      <w:r>
        <w:rPr>
          <w:rFonts w:ascii="Calibri" w:eastAsia="Times New Roman" w:hAnsi="Calibri" w:cs="Times New Roman"/>
          <w:sz w:val="24"/>
          <w:szCs w:val="24"/>
          <w:lang w:eastAsia="en-GB"/>
        </w:rPr>
        <w:t>-</w:t>
      </w:r>
      <w:r w:rsidRPr="00611FFB">
        <w:rPr>
          <w:rFonts w:ascii="Calibri" w:eastAsia="Times New Roman" w:hAnsi="Calibri" w:cs="Times New Roman"/>
          <w:sz w:val="24"/>
          <w:szCs w:val="24"/>
          <w:lang w:eastAsia="en-GB"/>
        </w:rPr>
        <w:t>stage approach was used whereby missed persons were first imputed into counted households</w:t>
      </w:r>
      <w:r>
        <w:rPr>
          <w:rFonts w:ascii="Calibri" w:eastAsia="Times New Roman" w:hAnsi="Calibri" w:cs="Times New Roman"/>
          <w:sz w:val="24"/>
          <w:szCs w:val="24"/>
          <w:lang w:eastAsia="en-GB"/>
        </w:rPr>
        <w:t xml:space="preserve">. </w:t>
      </w:r>
    </w:p>
    <w:p w14:paraId="5D0925F1" w14:textId="77777777" w:rsidR="00BF399A" w:rsidRPr="00F45DD6" w:rsidRDefault="00BF399A" w:rsidP="00BF399A">
      <w:pPr>
        <w:numPr>
          <w:ilvl w:val="0"/>
          <w:numId w:val="1"/>
        </w:numPr>
        <w:tabs>
          <w:tab w:val="clear" w:pos="720"/>
          <w:tab w:val="num" w:pos="-720"/>
        </w:tabs>
        <w:spacing w:after="0" w:line="240" w:lineRule="auto"/>
        <w:ind w:left="527" w:hanging="357"/>
        <w:textAlignment w:val="center"/>
        <w:rPr>
          <w:rFonts w:ascii="Calibri" w:eastAsia="Times New Roman" w:hAnsi="Calibri" w:cs="Times New Roman"/>
          <w:sz w:val="24"/>
          <w:szCs w:val="24"/>
          <w:lang w:eastAsia="en-GB"/>
        </w:rPr>
      </w:pPr>
      <w:r w:rsidRPr="00611FFB">
        <w:rPr>
          <w:rFonts w:ascii="Calibri" w:eastAsia="Times New Roman" w:hAnsi="Calibri" w:cs="Times New Roman"/>
          <w:sz w:val="24"/>
          <w:szCs w:val="24"/>
          <w:lang w:eastAsia="en-GB"/>
        </w:rPr>
        <w:t xml:space="preserve">Use </w:t>
      </w:r>
      <w:r>
        <w:rPr>
          <w:rFonts w:ascii="Calibri" w:eastAsia="Times New Roman" w:hAnsi="Calibri" w:cs="Times New Roman"/>
          <w:sz w:val="24"/>
          <w:szCs w:val="24"/>
          <w:lang w:eastAsia="en-GB"/>
        </w:rPr>
        <w:t xml:space="preserve">of </w:t>
      </w:r>
      <w:r w:rsidRPr="00611FFB">
        <w:rPr>
          <w:rFonts w:ascii="Calibri" w:eastAsia="Times New Roman" w:hAnsi="Calibri" w:cs="Times New Roman"/>
          <w:sz w:val="24"/>
          <w:szCs w:val="24"/>
          <w:lang w:eastAsia="en-GB"/>
        </w:rPr>
        <w:t xml:space="preserve">the Combinatorial Optimisation methods to select donor households. </w:t>
      </w:r>
      <w:r>
        <w:rPr>
          <w:rFonts w:ascii="Calibri" w:eastAsia="Times New Roman" w:hAnsi="Calibri" w:cs="Times New Roman"/>
          <w:sz w:val="24"/>
          <w:szCs w:val="24"/>
          <w:lang w:eastAsia="en-GB"/>
        </w:rPr>
        <w:t xml:space="preserve">The CO methods involve an integer reweighting procedure to find a combination of households from the census database that best fits benchmarks for both households and individuals estimated to have been missed by the Census. In 2011, donor households were selected by comparing a cumulative total of calibrated coverage weights to census counts.  CO </w:t>
      </w:r>
      <w:r w:rsidRPr="00F45DD6">
        <w:rPr>
          <w:rFonts w:ascii="Calibri" w:eastAsia="Times New Roman" w:hAnsi="Calibri" w:cs="Times New Roman"/>
          <w:sz w:val="24"/>
          <w:szCs w:val="24"/>
          <w:lang w:eastAsia="en-GB"/>
        </w:rPr>
        <w:t xml:space="preserve">provides a </w:t>
      </w:r>
      <w:r>
        <w:rPr>
          <w:rFonts w:ascii="Calibri" w:eastAsia="Times New Roman" w:hAnsi="Calibri" w:cs="Times New Roman"/>
          <w:sz w:val="24"/>
          <w:szCs w:val="24"/>
          <w:lang w:eastAsia="en-GB"/>
        </w:rPr>
        <w:t xml:space="preserve">simpler and </w:t>
      </w:r>
      <w:r w:rsidRPr="00F45DD6">
        <w:rPr>
          <w:rFonts w:ascii="Calibri" w:eastAsia="Times New Roman" w:hAnsi="Calibri" w:cs="Times New Roman"/>
          <w:sz w:val="24"/>
          <w:szCs w:val="24"/>
          <w:lang w:eastAsia="en-GB"/>
        </w:rPr>
        <w:t xml:space="preserve">more transparent method for selecting </w:t>
      </w:r>
      <w:r>
        <w:rPr>
          <w:rFonts w:ascii="Calibri" w:eastAsia="Times New Roman" w:hAnsi="Calibri" w:cs="Times New Roman"/>
          <w:sz w:val="24"/>
          <w:szCs w:val="24"/>
          <w:lang w:eastAsia="en-GB"/>
        </w:rPr>
        <w:t>(</w:t>
      </w:r>
      <w:r w:rsidRPr="00F45DD6">
        <w:rPr>
          <w:rFonts w:ascii="Calibri" w:eastAsia="Times New Roman" w:hAnsi="Calibri" w:cs="Times New Roman"/>
          <w:sz w:val="24"/>
          <w:szCs w:val="24"/>
          <w:lang w:eastAsia="en-GB"/>
        </w:rPr>
        <w:t>whole</w:t>
      </w:r>
      <w:r>
        <w:rPr>
          <w:rFonts w:ascii="Calibri" w:eastAsia="Times New Roman" w:hAnsi="Calibri" w:cs="Times New Roman"/>
          <w:sz w:val="24"/>
          <w:szCs w:val="24"/>
          <w:lang w:eastAsia="en-GB"/>
        </w:rPr>
        <w:t>)</w:t>
      </w:r>
      <w:r w:rsidRPr="00F45DD6">
        <w:rPr>
          <w:rFonts w:ascii="Calibri" w:eastAsia="Times New Roman" w:hAnsi="Calibri" w:cs="Times New Roman"/>
          <w:sz w:val="24"/>
          <w:szCs w:val="24"/>
          <w:lang w:eastAsia="en-GB"/>
        </w:rPr>
        <w:t xml:space="preserve"> people with the characteristics of non-respondents for use as donors</w:t>
      </w:r>
      <w:r w:rsidRPr="00334CF7">
        <w:rPr>
          <w:rFonts w:ascii="Calibri" w:eastAsia="Times New Roman" w:hAnsi="Calibri" w:cs="Times New Roman"/>
          <w:sz w:val="24"/>
          <w:szCs w:val="24"/>
          <w:lang w:eastAsia="en-GB"/>
        </w:rPr>
        <w:t>.</w:t>
      </w:r>
      <w:r w:rsidRPr="00F45DD6">
        <w:rPr>
          <w:rFonts w:ascii="Calibri" w:eastAsia="Times New Roman" w:hAnsi="Calibri" w:cs="Times New Roman"/>
          <w:color w:val="FF0000"/>
          <w:sz w:val="24"/>
          <w:szCs w:val="24"/>
          <w:lang w:eastAsia="en-GB"/>
        </w:rPr>
        <w:t xml:space="preserve"> </w:t>
      </w:r>
      <w:r w:rsidRPr="00F45DD6">
        <w:rPr>
          <w:sz w:val="24"/>
          <w:szCs w:val="24"/>
        </w:rPr>
        <w:t xml:space="preserve">Further information about the CO methods are available in Appendix </w:t>
      </w:r>
      <w:r>
        <w:rPr>
          <w:sz w:val="24"/>
          <w:szCs w:val="24"/>
        </w:rPr>
        <w:t xml:space="preserve">A and for a more detailed description see </w:t>
      </w:r>
      <w:r w:rsidRPr="00E22937">
        <w:rPr>
          <w:sz w:val="24"/>
          <w:szCs w:val="24"/>
        </w:rPr>
        <w:t>Oguz and Abbott (2016)</w:t>
      </w:r>
      <w:r>
        <w:rPr>
          <w:sz w:val="24"/>
          <w:szCs w:val="24"/>
        </w:rPr>
        <w:t xml:space="preserve"> (Annex A, p49 - 50)</w:t>
      </w:r>
      <w:r w:rsidRPr="00F45DD6">
        <w:rPr>
          <w:rFonts w:ascii="Calibri" w:eastAsia="Times New Roman" w:hAnsi="Calibri" w:cs="Times New Roman"/>
          <w:sz w:val="24"/>
          <w:szCs w:val="24"/>
          <w:lang w:eastAsia="en-GB"/>
        </w:rPr>
        <w:t>.</w:t>
      </w:r>
      <w:r>
        <w:rPr>
          <w:rFonts w:ascii="Calibri" w:eastAsia="Times New Roman" w:hAnsi="Calibri" w:cs="Times New Roman"/>
          <w:sz w:val="24"/>
          <w:szCs w:val="24"/>
          <w:lang w:eastAsia="en-GB"/>
        </w:rPr>
        <w:t xml:space="preserve">  </w:t>
      </w:r>
    </w:p>
    <w:p w14:paraId="43017B32" w14:textId="77777777" w:rsidR="00BF399A" w:rsidRDefault="00BF399A" w:rsidP="00BF399A">
      <w:pPr>
        <w:numPr>
          <w:ilvl w:val="0"/>
          <w:numId w:val="1"/>
        </w:numPr>
        <w:tabs>
          <w:tab w:val="clear" w:pos="720"/>
          <w:tab w:val="num" w:pos="-720"/>
        </w:tabs>
        <w:spacing w:after="0" w:line="240" w:lineRule="auto"/>
        <w:ind w:left="527" w:hanging="357"/>
        <w:textAlignment w:val="center"/>
        <w:rPr>
          <w:rFonts w:ascii="Calibri" w:eastAsia="Times New Roman" w:hAnsi="Calibri" w:cs="Times New Roman"/>
          <w:sz w:val="24"/>
          <w:szCs w:val="24"/>
          <w:lang w:eastAsia="en-GB"/>
        </w:rPr>
      </w:pPr>
      <w:r w:rsidRPr="00611FFB">
        <w:rPr>
          <w:rFonts w:ascii="Calibri" w:eastAsia="Times New Roman" w:hAnsi="Calibri" w:cs="Times New Roman"/>
          <w:sz w:val="24"/>
          <w:szCs w:val="24"/>
          <w:lang w:eastAsia="en-GB"/>
        </w:rPr>
        <w:t>Greater use of administrative data for placing donor household into postcodes</w:t>
      </w:r>
      <w:r>
        <w:rPr>
          <w:rFonts w:ascii="Calibri" w:eastAsia="Times New Roman" w:hAnsi="Calibri" w:cs="Times New Roman"/>
          <w:sz w:val="24"/>
          <w:szCs w:val="24"/>
          <w:lang w:eastAsia="en-GB"/>
        </w:rPr>
        <w:t>, potentially providing more robust small area distributions.</w:t>
      </w:r>
    </w:p>
    <w:p w14:paraId="2AE0158A" w14:textId="77777777" w:rsidR="00BF399A" w:rsidRPr="00611FFB" w:rsidRDefault="00BF399A" w:rsidP="00BF399A">
      <w:pPr>
        <w:spacing w:after="0" w:line="240" w:lineRule="auto"/>
        <w:ind w:left="1080"/>
        <w:textAlignment w:val="center"/>
        <w:rPr>
          <w:rFonts w:ascii="Calibri" w:eastAsia="Times New Roman" w:hAnsi="Calibri" w:cs="Times New Roman"/>
          <w:sz w:val="24"/>
          <w:szCs w:val="24"/>
          <w:lang w:eastAsia="en-GB"/>
        </w:rPr>
      </w:pPr>
    </w:p>
    <w:p w14:paraId="71A729F1" w14:textId="77777777" w:rsidR="00BF399A" w:rsidRPr="00A53264" w:rsidRDefault="00BF399A" w:rsidP="00BF399A">
      <w:pPr>
        <w:spacing w:line="240" w:lineRule="auto"/>
        <w:rPr>
          <w:rFonts w:ascii="Calibri" w:eastAsia="Times New Roman" w:hAnsi="Calibri" w:cs="Times New Roman"/>
          <w:sz w:val="24"/>
          <w:szCs w:val="24"/>
          <w:lang w:eastAsia="en-GB"/>
        </w:rPr>
      </w:pPr>
      <w:r w:rsidRPr="00E22937">
        <w:rPr>
          <w:rFonts w:ascii="Calibri" w:eastAsia="Times New Roman" w:hAnsi="Calibri" w:cs="Times New Roman"/>
          <w:sz w:val="24"/>
          <w:szCs w:val="24"/>
          <w:lang w:eastAsia="en-GB"/>
        </w:rPr>
        <w:t xml:space="preserve">The previous strategy paper </w:t>
      </w:r>
      <w:r w:rsidRPr="00E22937">
        <w:rPr>
          <w:sz w:val="24"/>
          <w:szCs w:val="24"/>
        </w:rPr>
        <w:t>Whitworth et al</w:t>
      </w:r>
      <w:r>
        <w:rPr>
          <w:sz w:val="24"/>
          <w:szCs w:val="24"/>
        </w:rPr>
        <w:t>, (</w:t>
      </w:r>
      <w:r w:rsidRPr="00E22937">
        <w:rPr>
          <w:sz w:val="24"/>
          <w:szCs w:val="24"/>
        </w:rPr>
        <w:t xml:space="preserve">2018) </w:t>
      </w:r>
      <w:r w:rsidRPr="00E22937">
        <w:rPr>
          <w:rFonts w:ascii="Calibri" w:eastAsia="Times New Roman" w:hAnsi="Calibri" w:cs="Times New Roman"/>
          <w:sz w:val="24"/>
          <w:szCs w:val="24"/>
          <w:lang w:eastAsia="en-GB"/>
        </w:rPr>
        <w:t>described some initial work that demonstrated proof of concept for the new methods in 5 estimation areas</w:t>
      </w:r>
      <w:r>
        <w:rPr>
          <w:rFonts w:ascii="Calibri" w:eastAsia="Times New Roman" w:hAnsi="Calibri" w:cs="Times New Roman"/>
          <w:sz w:val="24"/>
          <w:szCs w:val="24"/>
          <w:lang w:eastAsia="en-GB"/>
        </w:rPr>
        <w:t>.</w:t>
      </w:r>
      <w:r w:rsidRPr="00E22937">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I</w:t>
      </w:r>
      <w:r w:rsidRPr="00E22937">
        <w:rPr>
          <w:rFonts w:ascii="Calibri" w:eastAsia="Times New Roman" w:hAnsi="Calibri" w:cs="Times New Roman"/>
          <w:sz w:val="24"/>
          <w:szCs w:val="24"/>
          <w:lang w:eastAsia="en-GB"/>
        </w:rPr>
        <w:t xml:space="preserve">t referred to </w:t>
      </w:r>
      <w:bookmarkStart w:id="0" w:name="_Hlk19195341"/>
      <w:r w:rsidRPr="00E22937">
        <w:rPr>
          <w:sz w:val="24"/>
          <w:szCs w:val="24"/>
        </w:rPr>
        <w:t>Oguz and Abbott (2016)</w:t>
      </w:r>
      <w:bookmarkEnd w:id="0"/>
      <w:r w:rsidRPr="00E22937">
        <w:rPr>
          <w:sz w:val="24"/>
          <w:szCs w:val="24"/>
        </w:rPr>
        <w:t xml:space="preserve">, </w:t>
      </w:r>
      <w:r w:rsidRPr="00E22937">
        <w:rPr>
          <w:rFonts w:ascii="Calibri" w:eastAsia="Times New Roman" w:hAnsi="Calibri" w:cs="Times New Roman"/>
          <w:sz w:val="24"/>
          <w:szCs w:val="24"/>
          <w:lang w:eastAsia="en-GB"/>
        </w:rPr>
        <w:t xml:space="preserve">which demonstrated that </w:t>
      </w:r>
      <w:r>
        <w:rPr>
          <w:rFonts w:ascii="Calibri" w:eastAsia="Times New Roman" w:hAnsi="Calibri" w:cs="Times New Roman"/>
          <w:sz w:val="24"/>
          <w:szCs w:val="24"/>
          <w:lang w:eastAsia="en-GB"/>
        </w:rPr>
        <w:t xml:space="preserve">overall </w:t>
      </w:r>
      <w:r w:rsidRPr="00E22937">
        <w:rPr>
          <w:rFonts w:ascii="Calibri" w:eastAsia="Times New Roman" w:hAnsi="Calibri" w:cs="Times New Roman"/>
          <w:sz w:val="24"/>
          <w:szCs w:val="24"/>
          <w:lang w:eastAsia="en-GB"/>
        </w:rPr>
        <w:t xml:space="preserve">the benchmarks for age group by sex (at local authority level) and other key characteristics (at estimation area level) were better met using the CO methods than when using </w:t>
      </w:r>
      <w:r w:rsidRPr="00E22937">
        <w:rPr>
          <w:rFonts w:ascii="Calibri" w:eastAsia="Times New Roman" w:hAnsi="Calibri" w:cs="Times New Roman"/>
          <w:sz w:val="24"/>
          <w:szCs w:val="24"/>
          <w:lang w:val="en-GB" w:eastAsia="en-GB"/>
        </w:rPr>
        <w:t>the 2011 methods</w:t>
      </w:r>
      <w:r w:rsidRPr="00E22937">
        <w:rPr>
          <w:rFonts w:ascii="Calibri" w:eastAsia="Times New Roman" w:hAnsi="Calibri" w:cs="Times New Roman"/>
          <w:sz w:val="24"/>
          <w:szCs w:val="24"/>
          <w:lang w:eastAsia="en-GB"/>
        </w:rPr>
        <w:t xml:space="preserve">.  It also described some subsequent analysis showing that the benchmarks were </w:t>
      </w:r>
      <w:r>
        <w:rPr>
          <w:rFonts w:ascii="Calibri" w:eastAsia="Times New Roman" w:hAnsi="Calibri" w:cs="Times New Roman"/>
          <w:sz w:val="24"/>
          <w:szCs w:val="24"/>
          <w:lang w:eastAsia="en-GB"/>
        </w:rPr>
        <w:t xml:space="preserve">also </w:t>
      </w:r>
      <w:r w:rsidRPr="00E22937">
        <w:rPr>
          <w:rFonts w:ascii="Calibri" w:eastAsia="Times New Roman" w:hAnsi="Calibri" w:cs="Times New Roman"/>
          <w:sz w:val="24"/>
          <w:szCs w:val="24"/>
          <w:lang w:eastAsia="en-GB"/>
        </w:rPr>
        <w:t>better met in a two</w:t>
      </w:r>
      <w:r>
        <w:rPr>
          <w:rFonts w:ascii="Calibri" w:eastAsia="Times New Roman" w:hAnsi="Calibri" w:cs="Times New Roman"/>
          <w:sz w:val="24"/>
          <w:szCs w:val="24"/>
          <w:lang w:eastAsia="en-GB"/>
        </w:rPr>
        <w:t>-</w:t>
      </w:r>
      <w:r w:rsidRPr="00E22937">
        <w:rPr>
          <w:rFonts w:ascii="Calibri" w:eastAsia="Times New Roman" w:hAnsi="Calibri" w:cs="Times New Roman"/>
          <w:sz w:val="24"/>
          <w:szCs w:val="24"/>
          <w:lang w:eastAsia="en-GB"/>
        </w:rPr>
        <w:t>stage approach compared to a three</w:t>
      </w:r>
      <w:r>
        <w:rPr>
          <w:rFonts w:ascii="Calibri" w:eastAsia="Times New Roman" w:hAnsi="Calibri" w:cs="Times New Roman"/>
          <w:sz w:val="24"/>
          <w:szCs w:val="24"/>
          <w:lang w:eastAsia="en-GB"/>
        </w:rPr>
        <w:t>-</w:t>
      </w:r>
      <w:r w:rsidRPr="00E22937">
        <w:rPr>
          <w:rFonts w:ascii="Calibri" w:eastAsia="Times New Roman" w:hAnsi="Calibri" w:cs="Times New Roman"/>
          <w:sz w:val="24"/>
          <w:szCs w:val="24"/>
          <w:lang w:eastAsia="en-GB"/>
        </w:rPr>
        <w:t xml:space="preserve">stage approach (whereby missed people are first imputed into counted households). </w:t>
      </w:r>
    </w:p>
    <w:p w14:paraId="35010873" w14:textId="77777777" w:rsidR="00BF399A" w:rsidRDefault="00BF399A" w:rsidP="00BF399A">
      <w:pPr>
        <w:spacing w:line="240" w:lineRule="auto"/>
        <w:rPr>
          <w:rFonts w:ascii="Calibri" w:eastAsia="Times New Roman" w:hAnsi="Calibri" w:cs="Times New Roman"/>
          <w:sz w:val="24"/>
          <w:szCs w:val="24"/>
          <w:lang w:val="en-GB" w:eastAsia="en-GB"/>
        </w:rPr>
      </w:pPr>
      <w:r w:rsidRPr="00F668E9">
        <w:rPr>
          <w:rFonts w:ascii="Calibri" w:eastAsia="Times New Roman" w:hAnsi="Calibri" w:cs="Times New Roman"/>
          <w:sz w:val="24"/>
          <w:szCs w:val="24"/>
          <w:lang w:eastAsia="en-GB"/>
        </w:rPr>
        <w:t xml:space="preserve">This paper </w:t>
      </w:r>
      <w:r w:rsidRPr="00F668E9">
        <w:rPr>
          <w:rFonts w:ascii="Calibri" w:eastAsia="Times New Roman" w:hAnsi="Calibri" w:cs="Times New Roman"/>
          <w:sz w:val="24"/>
          <w:szCs w:val="24"/>
          <w:lang w:val="en-GB" w:eastAsia="en-GB"/>
        </w:rPr>
        <w:t xml:space="preserve">provides more detailed evidence on </w:t>
      </w:r>
      <w:r>
        <w:rPr>
          <w:rFonts w:ascii="Calibri" w:eastAsia="Times New Roman" w:hAnsi="Calibri" w:cs="Times New Roman"/>
          <w:sz w:val="24"/>
          <w:szCs w:val="24"/>
          <w:lang w:val="en-GB" w:eastAsia="en-GB"/>
        </w:rPr>
        <w:t xml:space="preserve">the implementation of </w:t>
      </w:r>
      <w:r w:rsidRPr="00F668E9">
        <w:rPr>
          <w:rFonts w:ascii="Calibri" w:eastAsia="Times New Roman" w:hAnsi="Calibri" w:cs="Times New Roman"/>
          <w:sz w:val="24"/>
          <w:szCs w:val="24"/>
          <w:lang w:val="en-GB" w:eastAsia="en-GB"/>
        </w:rPr>
        <w:t xml:space="preserve">the </w:t>
      </w:r>
      <w:r>
        <w:rPr>
          <w:rFonts w:ascii="Calibri" w:eastAsia="Times New Roman" w:hAnsi="Calibri" w:cs="Times New Roman"/>
          <w:sz w:val="24"/>
          <w:szCs w:val="24"/>
          <w:lang w:val="en-GB" w:eastAsia="en-GB"/>
        </w:rPr>
        <w:t xml:space="preserve">strategy including performance </w:t>
      </w:r>
      <w:r w:rsidRPr="00F668E9">
        <w:rPr>
          <w:rFonts w:ascii="Calibri" w:eastAsia="Times New Roman" w:hAnsi="Calibri" w:cs="Times New Roman"/>
          <w:sz w:val="24"/>
          <w:szCs w:val="24"/>
          <w:lang w:val="en-GB" w:eastAsia="en-GB"/>
        </w:rPr>
        <w:t xml:space="preserve">of </w:t>
      </w:r>
      <w:r>
        <w:rPr>
          <w:rFonts w:ascii="Calibri" w:eastAsia="Times New Roman" w:hAnsi="Calibri" w:cs="Times New Roman"/>
          <w:sz w:val="24"/>
          <w:szCs w:val="24"/>
          <w:lang w:val="en-GB" w:eastAsia="en-GB"/>
        </w:rPr>
        <w:t>the CO</w:t>
      </w:r>
      <w:r w:rsidRPr="00F668E9">
        <w:rPr>
          <w:rFonts w:ascii="Calibri" w:eastAsia="Times New Roman" w:hAnsi="Calibri" w:cs="Times New Roman"/>
          <w:sz w:val="24"/>
          <w:szCs w:val="24"/>
          <w:lang w:val="en-GB" w:eastAsia="en-GB"/>
        </w:rPr>
        <w:t xml:space="preserve"> </w:t>
      </w:r>
      <w:r>
        <w:rPr>
          <w:rFonts w:ascii="Calibri" w:eastAsia="Times New Roman" w:hAnsi="Calibri" w:cs="Times New Roman"/>
          <w:sz w:val="24"/>
          <w:szCs w:val="24"/>
          <w:lang w:val="en-GB" w:eastAsia="en-GB"/>
        </w:rPr>
        <w:t>method in a two-stage approach and investigation of properties of the CO outputs</w:t>
      </w:r>
      <w:r w:rsidRPr="00F668E9">
        <w:rPr>
          <w:rFonts w:ascii="Calibri" w:eastAsia="Times New Roman" w:hAnsi="Calibri" w:cs="Times New Roman"/>
          <w:sz w:val="24"/>
          <w:szCs w:val="24"/>
          <w:lang w:val="en-GB" w:eastAsia="en-GB"/>
        </w:rPr>
        <w:t xml:space="preserve">. </w:t>
      </w:r>
      <w:r>
        <w:rPr>
          <w:rFonts w:ascii="Calibri" w:eastAsia="Times New Roman" w:hAnsi="Calibri" w:cs="Times New Roman"/>
          <w:sz w:val="24"/>
          <w:szCs w:val="24"/>
          <w:lang w:val="en-GB" w:eastAsia="en-GB"/>
        </w:rPr>
        <w:t xml:space="preserve">We also outline our plans for using administrative data to provide additional evidence to inform the methods. </w:t>
      </w:r>
    </w:p>
    <w:p w14:paraId="03ADEE09" w14:textId="77777777" w:rsidR="00BF399A" w:rsidRPr="00F668E9" w:rsidRDefault="00BF399A" w:rsidP="00BF399A">
      <w:pPr>
        <w:spacing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Section 1 shows t</w:t>
      </w:r>
      <w:r w:rsidRPr="00F668E9">
        <w:rPr>
          <w:rFonts w:ascii="Calibri" w:eastAsia="Times New Roman" w:hAnsi="Calibri" w:cs="Times New Roman"/>
          <w:sz w:val="24"/>
          <w:szCs w:val="24"/>
          <w:lang w:eastAsia="en-GB"/>
        </w:rPr>
        <w:t>he performance of the CO method when using benchmarks for more detailed categori</w:t>
      </w:r>
      <w:r>
        <w:rPr>
          <w:rFonts w:ascii="Calibri" w:eastAsia="Times New Roman" w:hAnsi="Calibri" w:cs="Times New Roman"/>
          <w:sz w:val="24"/>
          <w:szCs w:val="24"/>
          <w:lang w:eastAsia="en-GB"/>
        </w:rPr>
        <w:t>s</w:t>
      </w:r>
      <w:r w:rsidRPr="00F668E9">
        <w:rPr>
          <w:rFonts w:ascii="Calibri" w:eastAsia="Times New Roman" w:hAnsi="Calibri" w:cs="Times New Roman"/>
          <w:sz w:val="24"/>
          <w:szCs w:val="24"/>
          <w:lang w:eastAsia="en-GB"/>
        </w:rPr>
        <w:t xml:space="preserve">ation of variables at </w:t>
      </w:r>
      <w:r>
        <w:rPr>
          <w:rFonts w:ascii="Calibri" w:eastAsia="Times New Roman" w:hAnsi="Calibri" w:cs="Times New Roman"/>
          <w:sz w:val="24"/>
          <w:szCs w:val="24"/>
          <w:lang w:eastAsia="en-GB"/>
        </w:rPr>
        <w:t>estimation area (EA)</w:t>
      </w:r>
      <w:r w:rsidRPr="00F668E9">
        <w:rPr>
          <w:rFonts w:ascii="Calibri" w:eastAsia="Times New Roman" w:hAnsi="Calibri" w:cs="Times New Roman"/>
          <w:sz w:val="24"/>
          <w:szCs w:val="24"/>
          <w:lang w:eastAsia="en-GB"/>
        </w:rPr>
        <w:t xml:space="preserve"> level. In 2011 the </w:t>
      </w:r>
      <w:r>
        <w:rPr>
          <w:rFonts w:ascii="Calibri" w:eastAsia="Times New Roman" w:hAnsi="Calibri" w:cs="Times New Roman"/>
          <w:sz w:val="24"/>
          <w:szCs w:val="24"/>
          <w:lang w:eastAsia="en-GB"/>
        </w:rPr>
        <w:t>number of categories for the</w:t>
      </w:r>
      <w:r w:rsidRPr="00F668E9">
        <w:rPr>
          <w:rFonts w:ascii="Calibri" w:eastAsia="Times New Roman" w:hAnsi="Calibri" w:cs="Times New Roman"/>
          <w:sz w:val="24"/>
          <w:szCs w:val="24"/>
          <w:lang w:eastAsia="en-GB"/>
        </w:rPr>
        <w:t xml:space="preserve"> benchmarks was different across EA</w:t>
      </w:r>
      <w:r>
        <w:rPr>
          <w:rFonts w:ascii="Calibri" w:eastAsia="Times New Roman" w:hAnsi="Calibri" w:cs="Times New Roman"/>
          <w:sz w:val="24"/>
          <w:szCs w:val="24"/>
          <w:lang w:eastAsia="en-GB"/>
        </w:rPr>
        <w:t>s,</w:t>
      </w:r>
      <w:r w:rsidRPr="00F668E9">
        <w:rPr>
          <w:rFonts w:ascii="Calibri" w:eastAsia="Times New Roman" w:hAnsi="Calibri" w:cs="Times New Roman"/>
          <w:sz w:val="24"/>
          <w:szCs w:val="24"/>
          <w:lang w:eastAsia="en-GB"/>
        </w:rPr>
        <w:t xml:space="preserve"> reflecting the quality of </w:t>
      </w:r>
      <w:r>
        <w:rPr>
          <w:rFonts w:ascii="Calibri" w:eastAsia="Times New Roman" w:hAnsi="Calibri" w:cs="Times New Roman"/>
          <w:sz w:val="24"/>
          <w:szCs w:val="24"/>
          <w:lang w:eastAsia="en-GB"/>
        </w:rPr>
        <w:t xml:space="preserve">the </w:t>
      </w:r>
      <w:r w:rsidRPr="00F668E9">
        <w:rPr>
          <w:rFonts w:ascii="Calibri" w:eastAsia="Times New Roman" w:hAnsi="Calibri" w:cs="Times New Roman"/>
          <w:sz w:val="24"/>
          <w:szCs w:val="24"/>
          <w:lang w:eastAsia="en-GB"/>
        </w:rPr>
        <w:t xml:space="preserve">coverage estimates and </w:t>
      </w:r>
      <w:r>
        <w:rPr>
          <w:rFonts w:ascii="Calibri" w:eastAsia="Times New Roman" w:hAnsi="Calibri" w:cs="Times New Roman"/>
          <w:sz w:val="24"/>
          <w:szCs w:val="24"/>
          <w:lang w:eastAsia="en-GB"/>
        </w:rPr>
        <w:t xml:space="preserve">the </w:t>
      </w:r>
      <w:r w:rsidRPr="00F668E9">
        <w:rPr>
          <w:rFonts w:ascii="Calibri" w:eastAsia="Times New Roman" w:hAnsi="Calibri" w:cs="Times New Roman"/>
          <w:sz w:val="24"/>
          <w:szCs w:val="24"/>
          <w:lang w:eastAsia="en-GB"/>
        </w:rPr>
        <w:t xml:space="preserve">ease with which the calibration could be achieved. </w:t>
      </w:r>
      <w:r>
        <w:rPr>
          <w:rFonts w:ascii="Calibri" w:eastAsia="Times New Roman" w:hAnsi="Calibri" w:cs="Times New Roman"/>
          <w:sz w:val="24"/>
          <w:szCs w:val="24"/>
          <w:lang w:eastAsia="en-GB"/>
        </w:rPr>
        <w:t xml:space="preserve">By using more detailed and consistent benchmarks with the CO methods we ensure more robust outputs by these key characteristics </w:t>
      </w:r>
      <w:r>
        <w:rPr>
          <w:rFonts w:ascii="Calibri" w:eastAsia="Times New Roman" w:hAnsi="Calibri" w:cs="Times New Roman"/>
          <w:sz w:val="24"/>
          <w:szCs w:val="24"/>
          <w:lang w:eastAsia="en-GB"/>
        </w:rPr>
        <w:lastRenderedPageBreak/>
        <w:t>which are then used as a basis for allocating donors to postcodes and for imputing the other census variables in stage 2.</w:t>
      </w:r>
    </w:p>
    <w:p w14:paraId="429182F8" w14:textId="77777777" w:rsidR="00BF399A" w:rsidRDefault="00BF399A" w:rsidP="00BF399A">
      <w:pPr>
        <w:spacing w:line="240" w:lineRule="auto"/>
        <w:rPr>
          <w:rFonts w:ascii="Calibri" w:eastAsia="Times New Roman" w:hAnsi="Calibri" w:cs="Times New Roman"/>
          <w:sz w:val="24"/>
          <w:szCs w:val="24"/>
          <w:lang w:eastAsia="en-GB"/>
        </w:rPr>
      </w:pPr>
      <w:bookmarkStart w:id="1" w:name="_Hlk17365085"/>
      <w:r>
        <w:rPr>
          <w:rFonts w:ascii="Calibri" w:eastAsia="Times New Roman" w:hAnsi="Calibri" w:cs="Times New Roman"/>
          <w:sz w:val="24"/>
          <w:szCs w:val="24"/>
          <w:lang w:eastAsia="en-GB"/>
        </w:rPr>
        <w:t xml:space="preserve">Section 2 assesses the bias and </w:t>
      </w:r>
      <w:r w:rsidRPr="000622C8">
        <w:rPr>
          <w:rFonts w:ascii="Calibri" w:eastAsia="Times New Roman" w:hAnsi="Calibri" w:cs="Times New Roman"/>
          <w:sz w:val="24"/>
          <w:szCs w:val="24"/>
          <w:lang w:eastAsia="en-GB"/>
        </w:rPr>
        <w:t xml:space="preserve">variance in the CO outputs </w:t>
      </w:r>
      <w:r>
        <w:rPr>
          <w:rFonts w:ascii="Calibri" w:eastAsia="Times New Roman" w:hAnsi="Calibri" w:cs="Times New Roman"/>
          <w:sz w:val="24"/>
          <w:szCs w:val="24"/>
          <w:lang w:eastAsia="en-GB"/>
        </w:rPr>
        <w:t>and provides more evidence on the relative merits of including benchmarks at more detailed categories.</w:t>
      </w:r>
      <w:r w:rsidRPr="009C47D0">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 xml:space="preserve">The CO procedure starts with a random selection of households and then substitutes households in order to obtain an optimal solution for the benchmarks. Different runs of the CO algorithm would therefore produce a different selection of donors. </w:t>
      </w:r>
    </w:p>
    <w:bookmarkEnd w:id="1"/>
    <w:p w14:paraId="635A4AAB" w14:textId="77777777" w:rsidR="00BF399A" w:rsidRDefault="00BF399A" w:rsidP="00BF399A">
      <w:pPr>
        <w:spacing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Section 3 t</w:t>
      </w:r>
      <w:r w:rsidRPr="00DD5485">
        <w:rPr>
          <w:rFonts w:ascii="Calibri" w:eastAsia="Times New Roman" w:hAnsi="Calibri" w:cs="Times New Roman"/>
          <w:sz w:val="24"/>
          <w:szCs w:val="24"/>
          <w:lang w:eastAsia="en-GB"/>
        </w:rPr>
        <w:t>est</w:t>
      </w:r>
      <w:r>
        <w:rPr>
          <w:rFonts w:ascii="Calibri" w:eastAsia="Times New Roman" w:hAnsi="Calibri" w:cs="Times New Roman"/>
          <w:sz w:val="24"/>
          <w:szCs w:val="24"/>
          <w:lang w:eastAsia="en-GB"/>
        </w:rPr>
        <w:t>s</w:t>
      </w:r>
      <w:r w:rsidRPr="00DD5485">
        <w:rPr>
          <w:rFonts w:ascii="Calibri" w:eastAsia="Times New Roman" w:hAnsi="Calibri" w:cs="Times New Roman"/>
          <w:sz w:val="24"/>
          <w:szCs w:val="24"/>
          <w:lang w:eastAsia="en-GB"/>
        </w:rPr>
        <w:t xml:space="preserve"> the performance of the CO methods in the two</w:t>
      </w:r>
      <w:r>
        <w:rPr>
          <w:rFonts w:ascii="Calibri" w:eastAsia="Times New Roman" w:hAnsi="Calibri" w:cs="Times New Roman"/>
          <w:sz w:val="24"/>
          <w:szCs w:val="24"/>
          <w:lang w:eastAsia="en-GB"/>
        </w:rPr>
        <w:t>-</w:t>
      </w:r>
      <w:r w:rsidRPr="00DD5485">
        <w:rPr>
          <w:rFonts w:ascii="Calibri" w:eastAsia="Times New Roman" w:hAnsi="Calibri" w:cs="Times New Roman"/>
          <w:sz w:val="24"/>
          <w:szCs w:val="24"/>
          <w:lang w:eastAsia="en-GB"/>
        </w:rPr>
        <w:t>stage approach under different scenarios for census coverage</w:t>
      </w:r>
      <w:r>
        <w:rPr>
          <w:rFonts w:ascii="Calibri" w:eastAsia="Times New Roman" w:hAnsi="Calibri" w:cs="Times New Roman"/>
          <w:sz w:val="24"/>
          <w:szCs w:val="24"/>
          <w:lang w:eastAsia="en-GB"/>
        </w:rPr>
        <w:t>.</w:t>
      </w:r>
      <w:r w:rsidRPr="00DD5485">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It provides evidence on the stability of the CO methods when subjected to different patterns and levels of census non-response</w:t>
      </w:r>
      <w:r w:rsidRPr="00DD5485">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 xml:space="preserve">i.e. </w:t>
      </w:r>
      <w:r w:rsidRPr="00DD5485">
        <w:rPr>
          <w:rFonts w:ascii="Calibri" w:eastAsia="Times New Roman" w:hAnsi="Calibri" w:cs="Times New Roman"/>
          <w:sz w:val="24"/>
          <w:szCs w:val="24"/>
          <w:lang w:eastAsia="en-GB"/>
        </w:rPr>
        <w:t xml:space="preserve">when the </w:t>
      </w:r>
      <w:r>
        <w:rPr>
          <w:rFonts w:ascii="Calibri" w:eastAsia="Times New Roman" w:hAnsi="Calibri" w:cs="Times New Roman"/>
          <w:sz w:val="24"/>
          <w:szCs w:val="24"/>
          <w:lang w:eastAsia="en-GB"/>
        </w:rPr>
        <w:t xml:space="preserve">relative </w:t>
      </w:r>
      <w:r w:rsidRPr="00DD5485">
        <w:rPr>
          <w:rFonts w:ascii="Calibri" w:eastAsia="Times New Roman" w:hAnsi="Calibri" w:cs="Times New Roman"/>
          <w:sz w:val="24"/>
          <w:szCs w:val="24"/>
          <w:lang w:eastAsia="en-GB"/>
        </w:rPr>
        <w:t>proportions of people missed from counted households compared to missed households is substantially greater than in 2011)</w:t>
      </w:r>
      <w:r>
        <w:rPr>
          <w:rFonts w:ascii="Calibri" w:eastAsia="Times New Roman" w:hAnsi="Calibri" w:cs="Times New Roman"/>
          <w:sz w:val="24"/>
          <w:szCs w:val="24"/>
          <w:lang w:eastAsia="en-GB"/>
        </w:rPr>
        <w:t xml:space="preserve">. </w:t>
      </w:r>
    </w:p>
    <w:p w14:paraId="19EF7583" w14:textId="77777777" w:rsidR="00BF399A" w:rsidRDefault="00BF399A" w:rsidP="00BF399A">
      <w:pPr>
        <w:spacing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Section 4 t</w:t>
      </w:r>
      <w:r w:rsidRPr="000622C8">
        <w:rPr>
          <w:rFonts w:ascii="Calibri" w:eastAsia="Times New Roman" w:hAnsi="Calibri" w:cs="Times New Roman"/>
          <w:sz w:val="24"/>
          <w:szCs w:val="24"/>
          <w:lang w:eastAsia="en-GB"/>
        </w:rPr>
        <w:t>est</w:t>
      </w:r>
      <w:r>
        <w:rPr>
          <w:rFonts w:ascii="Calibri" w:eastAsia="Times New Roman" w:hAnsi="Calibri" w:cs="Times New Roman"/>
          <w:sz w:val="24"/>
          <w:szCs w:val="24"/>
          <w:lang w:eastAsia="en-GB"/>
        </w:rPr>
        <w:t>s</w:t>
      </w:r>
      <w:r w:rsidRPr="000622C8">
        <w:rPr>
          <w:rFonts w:ascii="Calibri" w:eastAsia="Times New Roman" w:hAnsi="Calibri" w:cs="Times New Roman"/>
          <w:sz w:val="24"/>
          <w:szCs w:val="24"/>
          <w:lang w:eastAsia="en-GB"/>
        </w:rPr>
        <w:t xml:space="preserve"> the performance of the CO methods when using LA benchmarks and selecting from a LA donor pool rather than EA area</w:t>
      </w:r>
      <w:r>
        <w:rPr>
          <w:rFonts w:ascii="Calibri" w:eastAsia="Times New Roman" w:hAnsi="Calibri" w:cs="Times New Roman"/>
          <w:sz w:val="24"/>
          <w:szCs w:val="24"/>
          <w:lang w:eastAsia="en-GB"/>
        </w:rPr>
        <w:t xml:space="preserve"> pool</w:t>
      </w:r>
      <w:r w:rsidRPr="000622C8">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For 2021 it is planned that t</w:t>
      </w:r>
      <w:r w:rsidRPr="000622C8">
        <w:rPr>
          <w:rFonts w:ascii="Calibri" w:eastAsia="Times New Roman" w:hAnsi="Calibri" w:cs="Times New Roman"/>
          <w:sz w:val="24"/>
          <w:szCs w:val="24"/>
          <w:lang w:eastAsia="en-GB"/>
        </w:rPr>
        <w:t xml:space="preserve">he coverage estimates will be </w:t>
      </w:r>
      <w:r>
        <w:rPr>
          <w:rFonts w:ascii="Calibri" w:eastAsia="Times New Roman" w:hAnsi="Calibri" w:cs="Times New Roman"/>
          <w:sz w:val="24"/>
          <w:szCs w:val="24"/>
          <w:lang w:eastAsia="en-GB"/>
        </w:rPr>
        <w:t xml:space="preserve">available at </w:t>
      </w:r>
      <w:r w:rsidRPr="000622C8">
        <w:rPr>
          <w:rFonts w:ascii="Calibri" w:eastAsia="Times New Roman" w:hAnsi="Calibri" w:cs="Times New Roman"/>
          <w:sz w:val="24"/>
          <w:szCs w:val="24"/>
          <w:lang w:eastAsia="en-GB"/>
        </w:rPr>
        <w:t>LA level.</w:t>
      </w:r>
      <w:r>
        <w:rPr>
          <w:rFonts w:ascii="Calibri" w:eastAsia="Times New Roman" w:hAnsi="Calibri" w:cs="Times New Roman"/>
          <w:sz w:val="24"/>
          <w:szCs w:val="24"/>
          <w:lang w:eastAsia="en-GB"/>
        </w:rPr>
        <w:t xml:space="preserve"> </w:t>
      </w:r>
    </w:p>
    <w:p w14:paraId="127BF1F1" w14:textId="77777777" w:rsidR="00BF399A" w:rsidRDefault="00BF399A" w:rsidP="00BF399A">
      <w:pPr>
        <w:spacing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Section 5 presents our p</w:t>
      </w:r>
      <w:r w:rsidRPr="000622C8">
        <w:rPr>
          <w:rFonts w:ascii="Calibri" w:eastAsia="Times New Roman" w:hAnsi="Calibri" w:cs="Times New Roman"/>
          <w:sz w:val="24"/>
          <w:szCs w:val="24"/>
          <w:lang w:eastAsia="en-GB"/>
        </w:rPr>
        <w:t>lans for using administrative data to improve the detail of data used to inform the placement of donors to post codes.</w:t>
      </w:r>
    </w:p>
    <w:p w14:paraId="37FD6BBD" w14:textId="77777777" w:rsidR="00BF399A" w:rsidRPr="00B06360" w:rsidRDefault="00BF399A" w:rsidP="00BF399A">
      <w:pPr>
        <w:spacing w:line="240" w:lineRule="auto"/>
        <w:rPr>
          <w:rFonts w:ascii="Calibri" w:eastAsia="Times New Roman" w:hAnsi="Calibri" w:cs="Times New Roman"/>
          <w:b/>
          <w:sz w:val="24"/>
          <w:szCs w:val="24"/>
          <w:lang w:eastAsia="en-GB"/>
        </w:rPr>
      </w:pPr>
      <w:r w:rsidRPr="00622371">
        <w:rPr>
          <w:rFonts w:ascii="Calibri" w:eastAsia="Times New Roman" w:hAnsi="Calibri" w:cs="Times New Roman"/>
          <w:b/>
          <w:sz w:val="24"/>
          <w:szCs w:val="24"/>
          <w:lang w:eastAsia="en-GB"/>
        </w:rPr>
        <w:t xml:space="preserve">Section </w:t>
      </w:r>
      <w:r>
        <w:rPr>
          <w:rFonts w:ascii="Calibri" w:eastAsia="Times New Roman" w:hAnsi="Calibri" w:cs="Times New Roman"/>
          <w:b/>
          <w:sz w:val="24"/>
          <w:szCs w:val="24"/>
          <w:lang w:eastAsia="en-GB"/>
        </w:rPr>
        <w:t>1</w:t>
      </w:r>
      <w:r w:rsidRPr="00622371">
        <w:rPr>
          <w:rFonts w:ascii="Calibri" w:eastAsia="Times New Roman" w:hAnsi="Calibri" w:cs="Times New Roman"/>
          <w:b/>
          <w:sz w:val="24"/>
          <w:szCs w:val="24"/>
          <w:lang w:eastAsia="en-GB"/>
        </w:rPr>
        <w:t xml:space="preserve"> </w:t>
      </w:r>
      <w:r>
        <w:rPr>
          <w:rFonts w:ascii="Calibri" w:eastAsia="Times New Roman" w:hAnsi="Calibri" w:cs="Times New Roman"/>
          <w:b/>
          <w:sz w:val="24"/>
          <w:szCs w:val="24"/>
          <w:lang w:eastAsia="en-GB"/>
        </w:rPr>
        <w:t xml:space="preserve">  Implementation of </w:t>
      </w:r>
      <w:r w:rsidRPr="00B06360">
        <w:rPr>
          <w:b/>
          <w:sz w:val="24"/>
          <w:szCs w:val="24"/>
        </w:rPr>
        <w:t>the CO method with more detailed v</w:t>
      </w:r>
      <w:r>
        <w:rPr>
          <w:b/>
          <w:sz w:val="24"/>
          <w:szCs w:val="24"/>
        </w:rPr>
        <w:t>ariables.</w:t>
      </w:r>
      <w:r w:rsidRPr="00B06360">
        <w:rPr>
          <w:b/>
          <w:sz w:val="24"/>
          <w:szCs w:val="24"/>
        </w:rPr>
        <w:t xml:space="preserve"> </w:t>
      </w:r>
    </w:p>
    <w:p w14:paraId="101B0C8D" w14:textId="77777777" w:rsidR="00BF399A" w:rsidRDefault="00BF399A" w:rsidP="00BF399A">
      <w:pPr>
        <w:spacing w:line="240" w:lineRule="auto"/>
        <w:rPr>
          <w:sz w:val="24"/>
          <w:szCs w:val="24"/>
        </w:rPr>
      </w:pPr>
      <w:r>
        <w:rPr>
          <w:sz w:val="24"/>
          <w:szCs w:val="24"/>
        </w:rPr>
        <w:t>Earlier investigations of the CO methods (</w:t>
      </w:r>
      <w:r w:rsidRPr="00E22937">
        <w:rPr>
          <w:sz w:val="24"/>
          <w:szCs w:val="24"/>
        </w:rPr>
        <w:t>Oguz and Abbott</w:t>
      </w:r>
      <w:r>
        <w:rPr>
          <w:sz w:val="24"/>
          <w:szCs w:val="24"/>
        </w:rPr>
        <w:t>, (</w:t>
      </w:r>
      <w:r w:rsidRPr="00E22937">
        <w:rPr>
          <w:sz w:val="24"/>
          <w:szCs w:val="24"/>
        </w:rPr>
        <w:t>2016</w:t>
      </w:r>
      <w:r>
        <w:rPr>
          <w:sz w:val="24"/>
          <w:szCs w:val="24"/>
        </w:rPr>
        <w:t>)</w:t>
      </w:r>
      <w:r w:rsidRPr="00010D4B">
        <w:rPr>
          <w:sz w:val="24"/>
          <w:szCs w:val="24"/>
        </w:rPr>
        <w:t xml:space="preserve"> and </w:t>
      </w:r>
      <w:r w:rsidRPr="00611FFB">
        <w:rPr>
          <w:sz w:val="24"/>
          <w:szCs w:val="24"/>
        </w:rPr>
        <w:t>Whitworth et al</w:t>
      </w:r>
      <w:r>
        <w:rPr>
          <w:sz w:val="24"/>
          <w:szCs w:val="24"/>
        </w:rPr>
        <w:t>,</w:t>
      </w:r>
      <w:r w:rsidRPr="00611FFB">
        <w:rPr>
          <w:sz w:val="24"/>
          <w:szCs w:val="24"/>
        </w:rPr>
        <w:t xml:space="preserve"> </w:t>
      </w:r>
      <w:r>
        <w:rPr>
          <w:sz w:val="24"/>
          <w:szCs w:val="24"/>
        </w:rPr>
        <w:t>(</w:t>
      </w:r>
      <w:r w:rsidRPr="00611FFB">
        <w:rPr>
          <w:sz w:val="24"/>
          <w:szCs w:val="24"/>
        </w:rPr>
        <w:t>2018</w:t>
      </w:r>
      <w:r>
        <w:rPr>
          <w:sz w:val="24"/>
          <w:szCs w:val="24"/>
        </w:rPr>
        <w:t xml:space="preserve">)) used the same number of categories for the benchmark variables as used in the 2011 Census methodology. This was so that the performance of the CO method could be compared more directly with the 2011 Census methods. The number of categories used reflected the quality of the coverage estimates (used as benchmarks) and more notably the ease with which calibration could be achieved.  </w:t>
      </w:r>
    </w:p>
    <w:p w14:paraId="78BD3D5C" w14:textId="77777777" w:rsidR="00BF399A" w:rsidRDefault="00BF399A" w:rsidP="00BF399A">
      <w:pPr>
        <w:spacing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The main issue with the </w:t>
      </w:r>
      <w:r w:rsidRPr="00F668E9">
        <w:rPr>
          <w:rFonts w:ascii="Calibri" w:eastAsia="Times New Roman" w:hAnsi="Calibri" w:cs="Times New Roman"/>
          <w:sz w:val="24"/>
          <w:szCs w:val="24"/>
          <w:lang w:eastAsia="en-GB"/>
        </w:rPr>
        <w:t xml:space="preserve">2011 </w:t>
      </w:r>
      <w:r>
        <w:rPr>
          <w:rFonts w:ascii="Calibri" w:eastAsia="Times New Roman" w:hAnsi="Calibri" w:cs="Times New Roman"/>
          <w:sz w:val="24"/>
          <w:szCs w:val="24"/>
          <w:lang w:eastAsia="en-GB"/>
        </w:rPr>
        <w:t xml:space="preserve">system was the difficulty calibrating the household weights to both household tenure, and person estimates by age/sex groups.  Early runs were failing to select the required number of persons to meet the age/sex by local authority targets, because the household weights were not calibrating correctly. If calibration was not achieved, then all calibrating variables except age-sex group by LA and household tenure were collapsed or dropped. The evaluation of the methodology has also suggested that the three-stage approach may have caused some of the issues. </w:t>
      </w:r>
    </w:p>
    <w:p w14:paraId="0EE7DED9" w14:textId="77777777" w:rsidR="00BF399A" w:rsidRPr="009A3B3C" w:rsidRDefault="00BF399A" w:rsidP="00BF399A">
      <w:pPr>
        <w:spacing w:line="240" w:lineRule="auto"/>
        <w:rPr>
          <w:rFonts w:ascii="Calibri" w:eastAsia="Times New Roman" w:hAnsi="Calibri" w:cs="Times New Roman"/>
          <w:sz w:val="24"/>
          <w:szCs w:val="24"/>
          <w:lang w:eastAsia="en-GB"/>
        </w:rPr>
      </w:pPr>
      <w:r>
        <w:rPr>
          <w:sz w:val="24"/>
          <w:szCs w:val="24"/>
        </w:rPr>
        <w:t>The methods planned for 2021 Census provides the opportunity to obtain more robust estimates at more detailed levels of disaggregation</w:t>
      </w:r>
      <w:r w:rsidRPr="00741E39">
        <w:rPr>
          <w:color w:val="FF0000"/>
          <w:sz w:val="24"/>
          <w:szCs w:val="24"/>
        </w:rPr>
        <w:t xml:space="preserve">. </w:t>
      </w:r>
      <w:r w:rsidRPr="00D56692">
        <w:rPr>
          <w:sz w:val="24"/>
          <w:szCs w:val="24"/>
        </w:rPr>
        <w:t>North, R</w:t>
      </w:r>
      <w:r>
        <w:rPr>
          <w:sz w:val="24"/>
          <w:szCs w:val="24"/>
        </w:rPr>
        <w:t>.,</w:t>
      </w:r>
      <w:r w:rsidRPr="00D56692">
        <w:rPr>
          <w:sz w:val="24"/>
          <w:szCs w:val="24"/>
        </w:rPr>
        <w:t xml:space="preserve"> (2019) </w:t>
      </w:r>
      <w:bookmarkStart w:id="2" w:name="_Hlk17362695"/>
      <w:r w:rsidRPr="00D56692">
        <w:rPr>
          <w:sz w:val="24"/>
          <w:szCs w:val="24"/>
        </w:rPr>
        <w:t xml:space="preserve">assesses </w:t>
      </w:r>
      <w:r>
        <w:rPr>
          <w:sz w:val="24"/>
          <w:szCs w:val="24"/>
        </w:rPr>
        <w:t>the performance of the CO method for the same five estimation areas but the number of categories in the benchmark variables is increased</w:t>
      </w:r>
      <w:bookmarkEnd w:id="2"/>
      <w:r>
        <w:rPr>
          <w:sz w:val="24"/>
          <w:szCs w:val="24"/>
        </w:rPr>
        <w:t xml:space="preserve">. </w:t>
      </w:r>
      <w:r>
        <w:rPr>
          <w:rFonts w:ascii="Calibri" w:eastAsia="Times New Roman" w:hAnsi="Calibri" w:cs="Times New Roman"/>
          <w:sz w:val="24"/>
          <w:szCs w:val="24"/>
          <w:lang w:eastAsia="en-GB"/>
        </w:rPr>
        <w:t>The CO methods are used to find a combination of households from the census database that best fits benchmarks for both households and individuals estimated to have been missed by the census. The fit of the benchmarked variables is assessed using the Total Absolute Error (TAE)</w:t>
      </w:r>
      <w:r w:rsidRPr="009A3B3C">
        <w:rPr>
          <w:sz w:val="24"/>
          <w:szCs w:val="24"/>
        </w:rPr>
        <w:t xml:space="preserve"> </w:t>
      </w:r>
      <w:r>
        <w:rPr>
          <w:sz w:val="24"/>
          <w:szCs w:val="24"/>
        </w:rPr>
        <w:t>which is</w:t>
      </w:r>
      <w:r w:rsidRPr="00FC5D22">
        <w:rPr>
          <w:sz w:val="24"/>
          <w:szCs w:val="24"/>
        </w:rPr>
        <w:t xml:space="preserve"> the sum of the absolute differences </w:t>
      </w:r>
      <w:r w:rsidRPr="00FC5D22">
        <w:rPr>
          <w:sz w:val="24"/>
          <w:szCs w:val="24"/>
        </w:rPr>
        <w:lastRenderedPageBreak/>
        <w:t xml:space="preserve">between the observed </w:t>
      </w:r>
      <w:r>
        <w:rPr>
          <w:sz w:val="24"/>
          <w:szCs w:val="24"/>
        </w:rPr>
        <w:t xml:space="preserve">(CO) </w:t>
      </w:r>
      <w:r w:rsidRPr="00FC5D22">
        <w:rPr>
          <w:sz w:val="24"/>
          <w:szCs w:val="24"/>
        </w:rPr>
        <w:t>counts and the expected (benchmark) counts</w:t>
      </w:r>
      <w:r>
        <w:rPr>
          <w:sz w:val="24"/>
          <w:szCs w:val="24"/>
        </w:rPr>
        <w:t>.</w:t>
      </w:r>
      <w:r>
        <w:rPr>
          <w:rFonts w:ascii="Calibri" w:eastAsia="Times New Roman" w:hAnsi="Calibri" w:cs="Times New Roman"/>
          <w:sz w:val="24"/>
          <w:szCs w:val="24"/>
          <w:lang w:eastAsia="en-GB"/>
        </w:rPr>
        <w:t xml:space="preserve"> </w:t>
      </w:r>
      <w:r>
        <w:rPr>
          <w:sz w:val="24"/>
          <w:szCs w:val="24"/>
        </w:rPr>
        <w:t>The selected EAs contain a range of urban and rural areas as well as demographic mix, and some areas faced problems with calibration when using the 2011 system.</w:t>
      </w:r>
    </w:p>
    <w:p w14:paraId="705CD803" w14:textId="77777777" w:rsidR="00BF399A" w:rsidRDefault="00BF399A" w:rsidP="00BF399A">
      <w:pPr>
        <w:spacing w:line="240" w:lineRule="auto"/>
        <w:rPr>
          <w:sz w:val="24"/>
          <w:szCs w:val="24"/>
        </w:rPr>
      </w:pPr>
      <w:r>
        <w:rPr>
          <w:sz w:val="24"/>
          <w:szCs w:val="24"/>
        </w:rPr>
        <w:t xml:space="preserve">The ethnic group, household tenure and hard to count variables were found to be very robust (across all areas considered) achieving a good fit regardless of the way they were categorised. The hard to count index variable was included with the maximum number of categories for each area, typically only two categories (easier or harder to count household). The activity last week variable was typically available as a seven-level variable for each estimation area, but as the error was larger for the age-sex by local authority variable when this was used, the variable was instead used as a four-level variable (full time employed, part time employed, student, other). The variable that had the most notable errors was the household size variable when the number of categories was increased to more than three persons per household. Table </w:t>
      </w:r>
      <w:r w:rsidRPr="00227513">
        <w:rPr>
          <w:sz w:val="24"/>
          <w:szCs w:val="24"/>
        </w:rPr>
        <w:t xml:space="preserve">1 </w:t>
      </w:r>
      <w:r>
        <w:rPr>
          <w:sz w:val="24"/>
          <w:szCs w:val="24"/>
        </w:rPr>
        <w:t>below shows the total absolute error (TAE) when different categories for household size are used for the benchmarks for an estimation area within the East Midlands. The donor pool was the census responses for that estimation area, with274,521 households and 624,701 persons.</w:t>
      </w:r>
    </w:p>
    <w:p w14:paraId="34D7D93C" w14:textId="77777777" w:rsidR="00BF399A" w:rsidRDefault="00BF399A" w:rsidP="00BF399A">
      <w:pPr>
        <w:rPr>
          <w:b/>
          <w:sz w:val="24"/>
        </w:rPr>
      </w:pPr>
      <w:r>
        <w:rPr>
          <w:rFonts w:ascii="Calibri" w:eastAsia="Times New Roman" w:hAnsi="Calibri" w:cs="Times New Roman"/>
          <w:sz w:val="24"/>
          <w:szCs w:val="24"/>
          <w:lang w:eastAsia="en-GB"/>
        </w:rPr>
        <w:t xml:space="preserve"> </w:t>
      </w:r>
      <w:r>
        <w:rPr>
          <w:b/>
          <w:sz w:val="24"/>
        </w:rPr>
        <w:t xml:space="preserve">Table </w:t>
      </w:r>
      <w:r w:rsidRPr="00926B5C">
        <w:rPr>
          <w:b/>
          <w:sz w:val="24"/>
        </w:rPr>
        <w:t>1</w:t>
      </w:r>
      <w:r>
        <w:rPr>
          <w:b/>
          <w:sz w:val="24"/>
        </w:rPr>
        <w:t>: Running Combinatorial Optimisation for the whole adjustment process (two stage approach) in estimation area EM05NSDE (East Midlands), with different categorisations of the household size variable.</w:t>
      </w:r>
    </w:p>
    <w:tbl>
      <w:tblPr>
        <w:tblStyle w:val="TableGrid"/>
        <w:tblW w:w="10201" w:type="dxa"/>
        <w:tblInd w:w="0" w:type="dxa"/>
        <w:tblLayout w:type="fixed"/>
        <w:tblLook w:val="04A0" w:firstRow="1" w:lastRow="0" w:firstColumn="1" w:lastColumn="0" w:noHBand="0" w:noVBand="1"/>
      </w:tblPr>
      <w:tblGrid>
        <w:gridCol w:w="3114"/>
        <w:gridCol w:w="1984"/>
        <w:gridCol w:w="1560"/>
        <w:gridCol w:w="1559"/>
        <w:gridCol w:w="1984"/>
      </w:tblGrid>
      <w:tr w:rsidR="00BF399A" w14:paraId="6696FD0C" w14:textId="77777777" w:rsidTr="00D308D9">
        <w:tc>
          <w:tcPr>
            <w:tcW w:w="3114" w:type="dxa"/>
            <w:tcBorders>
              <w:top w:val="single" w:sz="4" w:space="0" w:color="auto"/>
              <w:left w:val="single" w:sz="4" w:space="0" w:color="auto"/>
              <w:bottom w:val="single" w:sz="4" w:space="0" w:color="auto"/>
              <w:right w:val="single" w:sz="4" w:space="0" w:color="auto"/>
            </w:tcBorders>
            <w:hideMark/>
          </w:tcPr>
          <w:p w14:paraId="57B5AD3C" w14:textId="77777777" w:rsidR="00BF399A" w:rsidRDefault="00BF399A" w:rsidP="00D308D9">
            <w:pPr>
              <w:rPr>
                <w:b/>
              </w:rPr>
            </w:pPr>
            <w:r>
              <w:rPr>
                <w:b/>
              </w:rPr>
              <w:t>Benchmarked variable (categories) included in CO process, all but age /sex at estimation area level</w:t>
            </w:r>
          </w:p>
        </w:tc>
        <w:tc>
          <w:tcPr>
            <w:tcW w:w="1984" w:type="dxa"/>
            <w:tcBorders>
              <w:top w:val="single" w:sz="4" w:space="0" w:color="auto"/>
              <w:left w:val="single" w:sz="4" w:space="0" w:color="auto"/>
              <w:bottom w:val="single" w:sz="4" w:space="0" w:color="auto"/>
              <w:right w:val="single" w:sz="4" w:space="0" w:color="auto"/>
            </w:tcBorders>
            <w:hideMark/>
          </w:tcPr>
          <w:p w14:paraId="6FC3B9D9" w14:textId="77777777" w:rsidR="00BF399A" w:rsidRDefault="00BF399A" w:rsidP="00D308D9">
            <w:pPr>
              <w:rPr>
                <w:b/>
              </w:rPr>
            </w:pPr>
            <w:r>
              <w:rPr>
                <w:b/>
              </w:rPr>
              <w:t>Average run time per CO run, estimation area/LA benchmarks</w:t>
            </w:r>
          </w:p>
        </w:tc>
        <w:tc>
          <w:tcPr>
            <w:tcW w:w="1560" w:type="dxa"/>
            <w:tcBorders>
              <w:top w:val="single" w:sz="4" w:space="0" w:color="auto"/>
              <w:left w:val="single" w:sz="4" w:space="0" w:color="auto"/>
              <w:bottom w:val="single" w:sz="4" w:space="0" w:color="auto"/>
              <w:right w:val="single" w:sz="4" w:space="0" w:color="auto"/>
            </w:tcBorders>
            <w:hideMark/>
          </w:tcPr>
          <w:p w14:paraId="42BDBEFB" w14:textId="77777777" w:rsidR="00BF399A" w:rsidRDefault="00BF399A" w:rsidP="00D308D9">
            <w:pPr>
              <w:rPr>
                <w:b/>
              </w:rPr>
            </w:pPr>
            <w:r>
              <w:rPr>
                <w:b/>
              </w:rPr>
              <w:t>TAE age sex by LA (average over 100 runs)</w:t>
            </w:r>
          </w:p>
        </w:tc>
        <w:tc>
          <w:tcPr>
            <w:tcW w:w="1559" w:type="dxa"/>
            <w:tcBorders>
              <w:top w:val="single" w:sz="4" w:space="0" w:color="auto"/>
              <w:left w:val="single" w:sz="4" w:space="0" w:color="auto"/>
              <w:bottom w:val="single" w:sz="4" w:space="0" w:color="auto"/>
              <w:right w:val="single" w:sz="4" w:space="0" w:color="auto"/>
            </w:tcBorders>
            <w:hideMark/>
          </w:tcPr>
          <w:p w14:paraId="0454747C" w14:textId="77777777" w:rsidR="00BF399A" w:rsidRDefault="00BF399A" w:rsidP="00D308D9">
            <w:pPr>
              <w:rPr>
                <w:b/>
              </w:rPr>
            </w:pPr>
            <w:r>
              <w:rPr>
                <w:b/>
              </w:rPr>
              <w:t>TAE household size (average over 100 runs)</w:t>
            </w:r>
          </w:p>
        </w:tc>
        <w:tc>
          <w:tcPr>
            <w:tcW w:w="1984" w:type="dxa"/>
            <w:tcBorders>
              <w:top w:val="single" w:sz="4" w:space="0" w:color="auto"/>
              <w:left w:val="single" w:sz="4" w:space="0" w:color="auto"/>
              <w:bottom w:val="single" w:sz="4" w:space="0" w:color="auto"/>
              <w:right w:val="single" w:sz="4" w:space="0" w:color="auto"/>
            </w:tcBorders>
            <w:hideMark/>
          </w:tcPr>
          <w:p w14:paraId="37056F98" w14:textId="77777777" w:rsidR="00BF399A" w:rsidRDefault="00BF399A" w:rsidP="00D308D9">
            <w:pPr>
              <w:rPr>
                <w:b/>
              </w:rPr>
            </w:pPr>
            <w:r>
              <w:rPr>
                <w:b/>
              </w:rPr>
              <w:t>Total TAE across other variables (average over 100 runs)</w:t>
            </w:r>
          </w:p>
        </w:tc>
      </w:tr>
      <w:tr w:rsidR="00BF399A" w14:paraId="4862203F" w14:textId="77777777" w:rsidTr="00D308D9">
        <w:tc>
          <w:tcPr>
            <w:tcW w:w="3114" w:type="dxa"/>
            <w:tcBorders>
              <w:top w:val="single" w:sz="4" w:space="0" w:color="auto"/>
              <w:left w:val="single" w:sz="4" w:space="0" w:color="auto"/>
              <w:bottom w:val="single" w:sz="4" w:space="0" w:color="auto"/>
              <w:right w:val="single" w:sz="4" w:space="0" w:color="auto"/>
            </w:tcBorders>
            <w:hideMark/>
          </w:tcPr>
          <w:p w14:paraId="4976A59A" w14:textId="77777777" w:rsidR="00BF399A" w:rsidRDefault="00BF399A" w:rsidP="00D308D9">
            <w:r>
              <w:t>Key variables: Age-sex by LA (245), tenure (5)</w:t>
            </w:r>
          </w:p>
        </w:tc>
        <w:tc>
          <w:tcPr>
            <w:tcW w:w="1984" w:type="dxa"/>
            <w:tcBorders>
              <w:top w:val="single" w:sz="4" w:space="0" w:color="auto"/>
              <w:left w:val="single" w:sz="4" w:space="0" w:color="auto"/>
              <w:bottom w:val="single" w:sz="4" w:space="0" w:color="auto"/>
              <w:right w:val="single" w:sz="4" w:space="0" w:color="auto"/>
            </w:tcBorders>
            <w:hideMark/>
          </w:tcPr>
          <w:p w14:paraId="67BBE287" w14:textId="77777777" w:rsidR="00BF399A" w:rsidRDefault="00BF399A" w:rsidP="00D308D9">
            <w:r>
              <w:t>38 seconds</w:t>
            </w:r>
          </w:p>
        </w:tc>
        <w:tc>
          <w:tcPr>
            <w:tcW w:w="1560" w:type="dxa"/>
            <w:tcBorders>
              <w:top w:val="single" w:sz="4" w:space="0" w:color="auto"/>
              <w:left w:val="single" w:sz="4" w:space="0" w:color="auto"/>
              <w:bottom w:val="single" w:sz="4" w:space="0" w:color="auto"/>
              <w:right w:val="single" w:sz="4" w:space="0" w:color="auto"/>
            </w:tcBorders>
            <w:hideMark/>
          </w:tcPr>
          <w:p w14:paraId="2DEE503A" w14:textId="77777777" w:rsidR="00BF399A" w:rsidRDefault="00BF399A" w:rsidP="00D308D9">
            <w:r>
              <w:t>30</w:t>
            </w:r>
          </w:p>
        </w:tc>
        <w:tc>
          <w:tcPr>
            <w:tcW w:w="1559" w:type="dxa"/>
            <w:tcBorders>
              <w:top w:val="single" w:sz="4" w:space="0" w:color="auto"/>
              <w:left w:val="single" w:sz="4" w:space="0" w:color="auto"/>
              <w:bottom w:val="single" w:sz="4" w:space="0" w:color="auto"/>
              <w:right w:val="single" w:sz="4" w:space="0" w:color="auto"/>
            </w:tcBorders>
            <w:hideMark/>
          </w:tcPr>
          <w:p w14:paraId="2A888C3A" w14:textId="77777777" w:rsidR="00BF399A" w:rsidRDefault="00BF399A" w:rsidP="00D308D9">
            <w:r>
              <w:t>NA</w:t>
            </w:r>
          </w:p>
        </w:tc>
        <w:tc>
          <w:tcPr>
            <w:tcW w:w="1984" w:type="dxa"/>
            <w:tcBorders>
              <w:top w:val="single" w:sz="4" w:space="0" w:color="auto"/>
              <w:left w:val="single" w:sz="4" w:space="0" w:color="auto"/>
              <w:bottom w:val="single" w:sz="4" w:space="0" w:color="auto"/>
              <w:right w:val="single" w:sz="4" w:space="0" w:color="auto"/>
            </w:tcBorders>
            <w:hideMark/>
          </w:tcPr>
          <w:p w14:paraId="537847AA" w14:textId="77777777" w:rsidR="00BF399A" w:rsidRDefault="00BF399A" w:rsidP="00D308D9">
            <w:r>
              <w:t>0</w:t>
            </w:r>
          </w:p>
        </w:tc>
      </w:tr>
      <w:tr w:rsidR="00BF399A" w14:paraId="5ED628C9" w14:textId="77777777" w:rsidTr="00D308D9">
        <w:tc>
          <w:tcPr>
            <w:tcW w:w="3114" w:type="dxa"/>
            <w:tcBorders>
              <w:top w:val="single" w:sz="4" w:space="0" w:color="auto"/>
              <w:left w:val="single" w:sz="4" w:space="0" w:color="auto"/>
              <w:bottom w:val="single" w:sz="4" w:space="0" w:color="auto"/>
              <w:right w:val="single" w:sz="4" w:space="0" w:color="auto"/>
            </w:tcBorders>
            <w:hideMark/>
          </w:tcPr>
          <w:p w14:paraId="777BE268" w14:textId="77777777" w:rsidR="00BF399A" w:rsidRDefault="00BF399A" w:rsidP="00D308D9">
            <w:r>
              <w:t xml:space="preserve">Age-sex by LA (245), tenure (5), hard to count index (2), </w:t>
            </w:r>
            <w:r>
              <w:rPr>
                <w:b/>
              </w:rPr>
              <w:t>ethnicity (5), activity last week (4), household size (3)</w:t>
            </w:r>
          </w:p>
        </w:tc>
        <w:tc>
          <w:tcPr>
            <w:tcW w:w="1984" w:type="dxa"/>
            <w:tcBorders>
              <w:top w:val="single" w:sz="4" w:space="0" w:color="auto"/>
              <w:left w:val="single" w:sz="4" w:space="0" w:color="auto"/>
              <w:bottom w:val="single" w:sz="4" w:space="0" w:color="auto"/>
              <w:right w:val="single" w:sz="4" w:space="0" w:color="auto"/>
            </w:tcBorders>
            <w:hideMark/>
          </w:tcPr>
          <w:p w14:paraId="66A9A198" w14:textId="77777777" w:rsidR="00BF399A" w:rsidRDefault="00BF399A" w:rsidP="00D308D9">
            <w:r>
              <w:t>51 seconds</w:t>
            </w:r>
          </w:p>
        </w:tc>
        <w:tc>
          <w:tcPr>
            <w:tcW w:w="1560" w:type="dxa"/>
            <w:tcBorders>
              <w:top w:val="single" w:sz="4" w:space="0" w:color="auto"/>
              <w:left w:val="single" w:sz="4" w:space="0" w:color="auto"/>
              <w:bottom w:val="single" w:sz="4" w:space="0" w:color="auto"/>
              <w:right w:val="single" w:sz="4" w:space="0" w:color="auto"/>
            </w:tcBorders>
            <w:hideMark/>
          </w:tcPr>
          <w:p w14:paraId="14A94121" w14:textId="77777777" w:rsidR="00BF399A" w:rsidRDefault="00BF399A" w:rsidP="00D308D9">
            <w:r>
              <w:t>138</w:t>
            </w:r>
          </w:p>
        </w:tc>
        <w:tc>
          <w:tcPr>
            <w:tcW w:w="1559" w:type="dxa"/>
            <w:tcBorders>
              <w:top w:val="single" w:sz="4" w:space="0" w:color="auto"/>
              <w:left w:val="single" w:sz="4" w:space="0" w:color="auto"/>
              <w:bottom w:val="single" w:sz="4" w:space="0" w:color="auto"/>
              <w:right w:val="single" w:sz="4" w:space="0" w:color="auto"/>
            </w:tcBorders>
            <w:hideMark/>
          </w:tcPr>
          <w:p w14:paraId="3C343A99" w14:textId="77777777" w:rsidR="00BF399A" w:rsidRDefault="00BF399A" w:rsidP="00D308D9">
            <w:r>
              <w:t>1</w:t>
            </w:r>
          </w:p>
        </w:tc>
        <w:tc>
          <w:tcPr>
            <w:tcW w:w="1984" w:type="dxa"/>
            <w:tcBorders>
              <w:top w:val="single" w:sz="4" w:space="0" w:color="auto"/>
              <w:left w:val="single" w:sz="4" w:space="0" w:color="auto"/>
              <w:bottom w:val="single" w:sz="4" w:space="0" w:color="auto"/>
              <w:right w:val="single" w:sz="4" w:space="0" w:color="auto"/>
            </w:tcBorders>
            <w:hideMark/>
          </w:tcPr>
          <w:p w14:paraId="3AB8CE7B" w14:textId="77777777" w:rsidR="00BF399A" w:rsidRDefault="00BF399A" w:rsidP="00D308D9">
            <w:r>
              <w:t>5</w:t>
            </w:r>
          </w:p>
        </w:tc>
      </w:tr>
      <w:tr w:rsidR="00BF399A" w14:paraId="6941B87D" w14:textId="77777777" w:rsidTr="00D308D9">
        <w:tc>
          <w:tcPr>
            <w:tcW w:w="3114" w:type="dxa"/>
            <w:tcBorders>
              <w:top w:val="single" w:sz="4" w:space="0" w:color="auto"/>
              <w:left w:val="single" w:sz="4" w:space="0" w:color="auto"/>
              <w:bottom w:val="single" w:sz="4" w:space="0" w:color="auto"/>
              <w:right w:val="single" w:sz="4" w:space="0" w:color="auto"/>
            </w:tcBorders>
            <w:hideMark/>
          </w:tcPr>
          <w:p w14:paraId="58E79AA2" w14:textId="77777777" w:rsidR="00BF399A" w:rsidRDefault="00BF399A" w:rsidP="00D308D9">
            <w:r>
              <w:t xml:space="preserve">Age-sex by LA (245), tenure (5), hard to count index (2), </w:t>
            </w:r>
            <w:r>
              <w:rPr>
                <w:b/>
              </w:rPr>
              <w:t>ethnicity (5), activity last week (4), household size (4)</w:t>
            </w:r>
          </w:p>
        </w:tc>
        <w:tc>
          <w:tcPr>
            <w:tcW w:w="1984" w:type="dxa"/>
            <w:tcBorders>
              <w:top w:val="single" w:sz="4" w:space="0" w:color="auto"/>
              <w:left w:val="single" w:sz="4" w:space="0" w:color="auto"/>
              <w:bottom w:val="single" w:sz="4" w:space="0" w:color="auto"/>
              <w:right w:val="single" w:sz="4" w:space="0" w:color="auto"/>
            </w:tcBorders>
            <w:hideMark/>
          </w:tcPr>
          <w:p w14:paraId="48241D1B" w14:textId="77777777" w:rsidR="00BF399A" w:rsidRDefault="00BF399A" w:rsidP="00D308D9">
            <w:r>
              <w:t>51 seconds</w:t>
            </w:r>
          </w:p>
        </w:tc>
        <w:tc>
          <w:tcPr>
            <w:tcW w:w="1560" w:type="dxa"/>
            <w:tcBorders>
              <w:top w:val="single" w:sz="4" w:space="0" w:color="auto"/>
              <w:left w:val="single" w:sz="4" w:space="0" w:color="auto"/>
              <w:bottom w:val="single" w:sz="4" w:space="0" w:color="auto"/>
              <w:right w:val="single" w:sz="4" w:space="0" w:color="auto"/>
            </w:tcBorders>
            <w:hideMark/>
          </w:tcPr>
          <w:p w14:paraId="2C7D6FFF" w14:textId="77777777" w:rsidR="00BF399A" w:rsidRDefault="00BF399A" w:rsidP="00D308D9">
            <w:r>
              <w:t>130</w:t>
            </w:r>
          </w:p>
        </w:tc>
        <w:tc>
          <w:tcPr>
            <w:tcW w:w="1559" w:type="dxa"/>
            <w:tcBorders>
              <w:top w:val="single" w:sz="4" w:space="0" w:color="auto"/>
              <w:left w:val="single" w:sz="4" w:space="0" w:color="auto"/>
              <w:bottom w:val="single" w:sz="4" w:space="0" w:color="auto"/>
              <w:right w:val="single" w:sz="4" w:space="0" w:color="auto"/>
            </w:tcBorders>
            <w:hideMark/>
          </w:tcPr>
          <w:p w14:paraId="633E65A6" w14:textId="77777777" w:rsidR="00BF399A" w:rsidRDefault="00BF399A" w:rsidP="00D308D9">
            <w:r>
              <w:t>143</w:t>
            </w:r>
          </w:p>
        </w:tc>
        <w:tc>
          <w:tcPr>
            <w:tcW w:w="1984" w:type="dxa"/>
            <w:tcBorders>
              <w:top w:val="single" w:sz="4" w:space="0" w:color="auto"/>
              <w:left w:val="single" w:sz="4" w:space="0" w:color="auto"/>
              <w:bottom w:val="single" w:sz="4" w:space="0" w:color="auto"/>
              <w:right w:val="single" w:sz="4" w:space="0" w:color="auto"/>
            </w:tcBorders>
            <w:hideMark/>
          </w:tcPr>
          <w:p w14:paraId="6BCE6D3D" w14:textId="77777777" w:rsidR="00BF399A" w:rsidRDefault="00BF399A" w:rsidP="00D308D9">
            <w:r>
              <w:t>5</w:t>
            </w:r>
          </w:p>
        </w:tc>
      </w:tr>
      <w:tr w:rsidR="00BF399A" w14:paraId="2AF2D22D" w14:textId="77777777" w:rsidTr="00D308D9">
        <w:tc>
          <w:tcPr>
            <w:tcW w:w="3114" w:type="dxa"/>
            <w:tcBorders>
              <w:top w:val="single" w:sz="4" w:space="0" w:color="auto"/>
              <w:left w:val="single" w:sz="4" w:space="0" w:color="auto"/>
              <w:bottom w:val="single" w:sz="4" w:space="0" w:color="auto"/>
              <w:right w:val="single" w:sz="4" w:space="0" w:color="auto"/>
            </w:tcBorders>
            <w:hideMark/>
          </w:tcPr>
          <w:p w14:paraId="194F9304" w14:textId="77777777" w:rsidR="00BF399A" w:rsidRDefault="00BF399A" w:rsidP="00D308D9">
            <w:r>
              <w:t xml:space="preserve">Age-sex by LA (245), tenure (5), hard to count index (2), </w:t>
            </w:r>
            <w:r>
              <w:rPr>
                <w:b/>
              </w:rPr>
              <w:t>ethnicity (5), activity last week (4), household size (5)</w:t>
            </w:r>
          </w:p>
        </w:tc>
        <w:tc>
          <w:tcPr>
            <w:tcW w:w="1984" w:type="dxa"/>
            <w:tcBorders>
              <w:top w:val="single" w:sz="4" w:space="0" w:color="auto"/>
              <w:left w:val="single" w:sz="4" w:space="0" w:color="auto"/>
              <w:bottom w:val="single" w:sz="4" w:space="0" w:color="auto"/>
              <w:right w:val="single" w:sz="4" w:space="0" w:color="auto"/>
            </w:tcBorders>
            <w:hideMark/>
          </w:tcPr>
          <w:p w14:paraId="1CC7C0BE" w14:textId="77777777" w:rsidR="00BF399A" w:rsidRDefault="00BF399A" w:rsidP="00D308D9">
            <w:r>
              <w:t>51 seconds</w:t>
            </w:r>
          </w:p>
        </w:tc>
        <w:tc>
          <w:tcPr>
            <w:tcW w:w="1560" w:type="dxa"/>
            <w:tcBorders>
              <w:top w:val="single" w:sz="4" w:space="0" w:color="auto"/>
              <w:left w:val="single" w:sz="4" w:space="0" w:color="auto"/>
              <w:bottom w:val="single" w:sz="4" w:space="0" w:color="auto"/>
              <w:right w:val="single" w:sz="4" w:space="0" w:color="auto"/>
            </w:tcBorders>
            <w:hideMark/>
          </w:tcPr>
          <w:p w14:paraId="363A0D05" w14:textId="77777777" w:rsidR="00BF399A" w:rsidRDefault="00BF399A" w:rsidP="00D308D9">
            <w:r>
              <w:t>128</w:t>
            </w:r>
          </w:p>
        </w:tc>
        <w:tc>
          <w:tcPr>
            <w:tcW w:w="1559" w:type="dxa"/>
            <w:tcBorders>
              <w:top w:val="single" w:sz="4" w:space="0" w:color="auto"/>
              <w:left w:val="single" w:sz="4" w:space="0" w:color="auto"/>
              <w:bottom w:val="single" w:sz="4" w:space="0" w:color="auto"/>
              <w:right w:val="single" w:sz="4" w:space="0" w:color="auto"/>
            </w:tcBorders>
            <w:hideMark/>
          </w:tcPr>
          <w:p w14:paraId="6C12440B" w14:textId="77777777" w:rsidR="00BF399A" w:rsidRDefault="00BF399A" w:rsidP="00D308D9">
            <w:r>
              <w:t>287</w:t>
            </w:r>
          </w:p>
        </w:tc>
        <w:tc>
          <w:tcPr>
            <w:tcW w:w="1984" w:type="dxa"/>
            <w:tcBorders>
              <w:top w:val="single" w:sz="4" w:space="0" w:color="auto"/>
              <w:left w:val="single" w:sz="4" w:space="0" w:color="auto"/>
              <w:bottom w:val="single" w:sz="4" w:space="0" w:color="auto"/>
              <w:right w:val="single" w:sz="4" w:space="0" w:color="auto"/>
            </w:tcBorders>
            <w:hideMark/>
          </w:tcPr>
          <w:p w14:paraId="13C941ED" w14:textId="77777777" w:rsidR="00BF399A" w:rsidRDefault="00BF399A" w:rsidP="00D308D9">
            <w:r>
              <w:t>5</w:t>
            </w:r>
          </w:p>
        </w:tc>
      </w:tr>
    </w:tbl>
    <w:p w14:paraId="4075E137" w14:textId="77777777" w:rsidR="00BF399A" w:rsidRDefault="00BF399A" w:rsidP="00BF399A">
      <w:pPr>
        <w:spacing w:line="240" w:lineRule="auto"/>
      </w:pPr>
      <w:r>
        <w:rPr>
          <w:sz w:val="24"/>
          <w:szCs w:val="24"/>
        </w:rPr>
        <w:t xml:space="preserve">Note: </w:t>
      </w:r>
      <w:r w:rsidRPr="00FC5D22">
        <w:rPr>
          <w:sz w:val="24"/>
          <w:szCs w:val="24"/>
        </w:rPr>
        <w:t xml:space="preserve">Total Absolute Error </w:t>
      </w:r>
      <w:r>
        <w:rPr>
          <w:sz w:val="24"/>
          <w:szCs w:val="24"/>
        </w:rPr>
        <w:t>(TAE) is</w:t>
      </w:r>
      <w:r w:rsidRPr="00FC5D22">
        <w:rPr>
          <w:sz w:val="24"/>
          <w:szCs w:val="24"/>
        </w:rPr>
        <w:t xml:space="preserve"> the sum of the absolute differences between the observed counts and the expected (benchmark) counts</w:t>
      </w:r>
      <w:r>
        <w:rPr>
          <w:sz w:val="24"/>
          <w:szCs w:val="24"/>
        </w:rPr>
        <w:t>.</w:t>
      </w:r>
    </w:p>
    <w:p w14:paraId="054DBECB" w14:textId="77777777" w:rsidR="00BF399A" w:rsidRDefault="00BF399A" w:rsidP="00BF399A">
      <w:pPr>
        <w:spacing w:line="240" w:lineRule="auto"/>
        <w:rPr>
          <w:sz w:val="24"/>
          <w:szCs w:val="24"/>
        </w:rPr>
      </w:pPr>
      <w:r>
        <w:rPr>
          <w:rFonts w:ascii="Calibri" w:eastAsia="Times New Roman" w:hAnsi="Calibri" w:cs="Times New Roman"/>
          <w:sz w:val="24"/>
          <w:szCs w:val="24"/>
          <w:lang w:eastAsia="en-GB"/>
        </w:rPr>
        <w:t>We also observe the time taken to run the procedures and the number of times the same donor is selected.  Using the same donor many times</w:t>
      </w:r>
      <w:r>
        <w:rPr>
          <w:sz w:val="24"/>
          <w:szCs w:val="24"/>
        </w:rPr>
        <w:t xml:space="preserve"> could result in infeasible distributions in the output tables, particularly if the selected households have unusual characteristics.</w:t>
      </w:r>
      <w:r>
        <w:rPr>
          <w:rFonts w:ascii="Calibri" w:eastAsia="Times New Roman" w:hAnsi="Calibri" w:cs="Times New Roman"/>
          <w:sz w:val="24"/>
          <w:szCs w:val="24"/>
          <w:lang w:eastAsia="en-GB"/>
        </w:rPr>
        <w:t xml:space="preserve"> </w:t>
      </w:r>
      <w:r>
        <w:rPr>
          <w:sz w:val="24"/>
          <w:szCs w:val="24"/>
        </w:rPr>
        <w:t xml:space="preserve">For the five estimation areas, and for the different combinations of benchmark variable categories, </w:t>
      </w:r>
      <w:r>
        <w:rPr>
          <w:sz w:val="24"/>
          <w:szCs w:val="24"/>
        </w:rPr>
        <w:lastRenderedPageBreak/>
        <w:t>each CO run took between around 10 and 60 seconds. Also, the CO method did not use the same household as a donor more than approximately 30 times. In contrast, there were cases where the 2011 method used the same household as a donor approximately 300 times. In both methods no restrictions were imposed as to the number of times the same household could be used as a donor, although this is a possibility for 2021.</w:t>
      </w:r>
    </w:p>
    <w:p w14:paraId="129D33FC" w14:textId="77777777" w:rsidR="00BF399A" w:rsidRDefault="00BF399A" w:rsidP="00BF399A">
      <w:pPr>
        <w:spacing w:line="240" w:lineRule="auto"/>
        <w:rPr>
          <w:rFonts w:ascii="Calibri" w:eastAsia="Times New Roman" w:hAnsi="Calibri" w:cs="Times New Roman"/>
          <w:b/>
          <w:sz w:val="24"/>
          <w:szCs w:val="24"/>
          <w:lang w:eastAsia="en-GB"/>
        </w:rPr>
      </w:pPr>
      <w:r w:rsidRPr="000701E2">
        <w:rPr>
          <w:rFonts w:ascii="Calibri" w:eastAsia="Times New Roman" w:hAnsi="Calibri" w:cs="Times New Roman"/>
          <w:b/>
          <w:sz w:val="24"/>
          <w:szCs w:val="24"/>
          <w:lang w:eastAsia="en-GB"/>
        </w:rPr>
        <w:t xml:space="preserve">Section </w:t>
      </w:r>
      <w:r>
        <w:rPr>
          <w:rFonts w:ascii="Calibri" w:eastAsia="Times New Roman" w:hAnsi="Calibri" w:cs="Times New Roman"/>
          <w:b/>
          <w:sz w:val="24"/>
          <w:szCs w:val="24"/>
          <w:lang w:eastAsia="en-GB"/>
        </w:rPr>
        <w:t>2</w:t>
      </w:r>
      <w:r w:rsidRPr="000701E2">
        <w:rPr>
          <w:rFonts w:ascii="Calibri" w:eastAsia="Times New Roman" w:hAnsi="Calibri" w:cs="Times New Roman"/>
          <w:b/>
          <w:sz w:val="24"/>
          <w:szCs w:val="24"/>
          <w:lang w:eastAsia="en-GB"/>
        </w:rPr>
        <w:t xml:space="preserve"> </w:t>
      </w:r>
      <w:r>
        <w:rPr>
          <w:rFonts w:ascii="Calibri" w:eastAsia="Times New Roman" w:hAnsi="Calibri" w:cs="Times New Roman"/>
          <w:b/>
          <w:sz w:val="24"/>
          <w:szCs w:val="24"/>
          <w:lang w:eastAsia="en-GB"/>
        </w:rPr>
        <w:t xml:space="preserve">  </w:t>
      </w:r>
      <w:r w:rsidRPr="000701E2">
        <w:rPr>
          <w:rFonts w:ascii="Calibri" w:eastAsia="Times New Roman" w:hAnsi="Calibri" w:cs="Times New Roman"/>
          <w:b/>
          <w:sz w:val="24"/>
          <w:szCs w:val="24"/>
          <w:lang w:eastAsia="en-GB"/>
        </w:rPr>
        <w:t>Variance and bias of the CO outputs</w:t>
      </w:r>
      <w:r>
        <w:rPr>
          <w:rFonts w:ascii="Calibri" w:eastAsia="Times New Roman" w:hAnsi="Calibri" w:cs="Times New Roman"/>
          <w:b/>
          <w:sz w:val="24"/>
          <w:szCs w:val="24"/>
          <w:lang w:eastAsia="en-GB"/>
        </w:rPr>
        <w:t xml:space="preserve"> and further investigation of household size.</w:t>
      </w:r>
    </w:p>
    <w:p w14:paraId="33E013E7" w14:textId="77777777" w:rsidR="00BF399A" w:rsidRPr="00083C5F" w:rsidRDefault="00BF399A" w:rsidP="00BF399A">
      <w:pPr>
        <w:spacing w:line="240" w:lineRule="auto"/>
        <w:rPr>
          <w:color w:val="E36C0A" w:themeColor="accent6" w:themeShade="BF"/>
          <w:sz w:val="24"/>
          <w:szCs w:val="24"/>
        </w:rPr>
      </w:pPr>
      <w:r>
        <w:rPr>
          <w:sz w:val="24"/>
          <w:szCs w:val="24"/>
        </w:rPr>
        <w:t xml:space="preserve">The CO method takes an initial selection of donors at random and then swaps in donors iteratively in order to improve the fit to the benchmarks. The CO algorithm is run 100 times using the (fixed) 2011 unadjusted census database for a given estimation area to give 100 different selections of donors. The selections are expected to be different with each run. </w:t>
      </w:r>
      <w:r w:rsidRPr="00E22937">
        <w:rPr>
          <w:sz w:val="24"/>
          <w:szCs w:val="24"/>
        </w:rPr>
        <w:t>Oguz and Abbott (2016</w:t>
      </w:r>
      <w:r>
        <w:rPr>
          <w:sz w:val="24"/>
          <w:szCs w:val="24"/>
        </w:rPr>
        <w:t>)</w:t>
      </w:r>
      <w:r w:rsidRPr="00232527">
        <w:rPr>
          <w:rFonts w:ascii="Calibri" w:eastAsia="Times New Roman" w:hAnsi="Calibri" w:cs="Times New Roman"/>
          <w:color w:val="FF0000"/>
          <w:sz w:val="24"/>
          <w:szCs w:val="24"/>
          <w:lang w:eastAsia="en-GB"/>
        </w:rPr>
        <w:t xml:space="preserve"> </w:t>
      </w:r>
      <w:r w:rsidRPr="00153778">
        <w:rPr>
          <w:rFonts w:ascii="Calibri" w:eastAsia="Times New Roman" w:hAnsi="Calibri" w:cs="Times New Roman"/>
          <w:sz w:val="24"/>
          <w:szCs w:val="24"/>
          <w:lang w:eastAsia="en-GB"/>
        </w:rPr>
        <w:t>showed the distribution of the TAEs over 100 runs for the age-sex group by LA</w:t>
      </w:r>
      <w:r>
        <w:rPr>
          <w:rFonts w:ascii="Calibri" w:eastAsia="Times New Roman" w:hAnsi="Calibri" w:cs="Times New Roman"/>
          <w:sz w:val="24"/>
          <w:szCs w:val="24"/>
          <w:lang w:eastAsia="en-GB"/>
        </w:rPr>
        <w:t xml:space="preserve"> variable </w:t>
      </w:r>
      <w:r w:rsidRPr="00153778">
        <w:rPr>
          <w:rFonts w:ascii="Calibri" w:eastAsia="Times New Roman" w:hAnsi="Calibri" w:cs="Times New Roman"/>
          <w:sz w:val="24"/>
          <w:szCs w:val="24"/>
          <w:lang w:eastAsia="en-GB"/>
        </w:rPr>
        <w:t xml:space="preserve">in all the </w:t>
      </w:r>
      <w:r>
        <w:rPr>
          <w:rFonts w:ascii="Calibri" w:eastAsia="Times New Roman" w:hAnsi="Calibri" w:cs="Times New Roman"/>
          <w:sz w:val="24"/>
          <w:szCs w:val="24"/>
          <w:lang w:eastAsia="en-GB"/>
        </w:rPr>
        <w:t xml:space="preserve">EAs tested </w:t>
      </w:r>
      <w:r w:rsidRPr="00153778">
        <w:rPr>
          <w:rFonts w:ascii="Calibri" w:eastAsia="Times New Roman" w:hAnsi="Calibri" w:cs="Times New Roman"/>
          <w:sz w:val="24"/>
          <w:szCs w:val="24"/>
          <w:lang w:eastAsia="en-GB"/>
        </w:rPr>
        <w:t>and the household size</w:t>
      </w:r>
      <w:r>
        <w:rPr>
          <w:rFonts w:ascii="Calibri" w:eastAsia="Times New Roman" w:hAnsi="Calibri" w:cs="Times New Roman"/>
          <w:sz w:val="24"/>
          <w:szCs w:val="24"/>
          <w:lang w:eastAsia="en-GB"/>
        </w:rPr>
        <w:t xml:space="preserve"> variable</w:t>
      </w:r>
      <w:r w:rsidRPr="00153778">
        <w:rPr>
          <w:rFonts w:ascii="Calibri" w:eastAsia="Times New Roman" w:hAnsi="Calibri" w:cs="Times New Roman"/>
          <w:sz w:val="24"/>
          <w:szCs w:val="24"/>
          <w:lang w:eastAsia="en-GB"/>
        </w:rPr>
        <w:t xml:space="preserve"> in 3 areas. The size of the error was for CO used in </w:t>
      </w:r>
      <w:r>
        <w:rPr>
          <w:rFonts w:ascii="Calibri" w:eastAsia="Times New Roman" w:hAnsi="Calibri" w:cs="Times New Roman"/>
          <w:sz w:val="24"/>
          <w:szCs w:val="24"/>
          <w:lang w:eastAsia="en-GB"/>
        </w:rPr>
        <w:t xml:space="preserve">the </w:t>
      </w:r>
      <w:r w:rsidRPr="00153778">
        <w:rPr>
          <w:rFonts w:ascii="Calibri" w:eastAsia="Times New Roman" w:hAnsi="Calibri" w:cs="Times New Roman"/>
          <w:sz w:val="24"/>
          <w:szCs w:val="24"/>
          <w:lang w:eastAsia="en-GB"/>
        </w:rPr>
        <w:t>three</w:t>
      </w:r>
      <w:r>
        <w:rPr>
          <w:rFonts w:ascii="Calibri" w:eastAsia="Times New Roman" w:hAnsi="Calibri" w:cs="Times New Roman"/>
          <w:sz w:val="24"/>
          <w:szCs w:val="24"/>
          <w:lang w:eastAsia="en-GB"/>
        </w:rPr>
        <w:t>-</w:t>
      </w:r>
      <w:r w:rsidRPr="00153778">
        <w:rPr>
          <w:rFonts w:ascii="Calibri" w:eastAsia="Times New Roman" w:hAnsi="Calibri" w:cs="Times New Roman"/>
          <w:sz w:val="24"/>
          <w:szCs w:val="24"/>
          <w:lang w:eastAsia="en-GB"/>
        </w:rPr>
        <w:t>stage approach (so missed persons were first imputed into counted households using the 2011 m</w:t>
      </w:r>
      <w:r>
        <w:rPr>
          <w:rFonts w:ascii="Calibri" w:eastAsia="Times New Roman" w:hAnsi="Calibri" w:cs="Times New Roman"/>
          <w:sz w:val="24"/>
          <w:szCs w:val="24"/>
          <w:lang w:eastAsia="en-GB"/>
        </w:rPr>
        <w:t>e</w:t>
      </w:r>
      <w:r w:rsidRPr="00153778">
        <w:rPr>
          <w:rFonts w:ascii="Calibri" w:eastAsia="Times New Roman" w:hAnsi="Calibri" w:cs="Times New Roman"/>
          <w:sz w:val="24"/>
          <w:szCs w:val="24"/>
          <w:lang w:eastAsia="en-GB"/>
        </w:rPr>
        <w:t xml:space="preserve">thods).  There were some differences in the distribution between EAs. For the age-sex group by LA </w:t>
      </w:r>
      <w:r>
        <w:rPr>
          <w:rFonts w:ascii="Calibri" w:eastAsia="Times New Roman" w:hAnsi="Calibri" w:cs="Times New Roman"/>
          <w:sz w:val="24"/>
          <w:szCs w:val="24"/>
          <w:lang w:eastAsia="en-GB"/>
        </w:rPr>
        <w:t xml:space="preserve">variable </w:t>
      </w:r>
      <w:r w:rsidRPr="00153778">
        <w:rPr>
          <w:rFonts w:ascii="Calibri" w:eastAsia="Times New Roman" w:hAnsi="Calibri" w:cs="Times New Roman"/>
          <w:sz w:val="24"/>
          <w:szCs w:val="24"/>
          <w:lang w:eastAsia="en-GB"/>
        </w:rPr>
        <w:t xml:space="preserve">the Outer London EA showed the greatest range in error and East Midlands the smallest. </w:t>
      </w:r>
    </w:p>
    <w:p w14:paraId="36685817" w14:textId="77777777" w:rsidR="00BF399A" w:rsidRPr="00FB1136" w:rsidRDefault="00BF399A" w:rsidP="00BF399A">
      <w:pPr>
        <w:spacing w:line="240" w:lineRule="auto"/>
        <w:rPr>
          <w:color w:val="E36C0A" w:themeColor="accent6" w:themeShade="BF"/>
          <w:sz w:val="24"/>
          <w:szCs w:val="24"/>
        </w:rPr>
      </w:pPr>
      <w:r>
        <w:rPr>
          <w:rFonts w:ascii="Calibri" w:eastAsia="Times New Roman" w:hAnsi="Calibri" w:cs="Times New Roman"/>
          <w:sz w:val="24"/>
          <w:szCs w:val="24"/>
          <w:lang w:eastAsia="en-GB"/>
        </w:rPr>
        <w:t xml:space="preserve">North, R (2019) assessed the </w:t>
      </w:r>
      <w:bookmarkStart w:id="3" w:name="_Hlk17365107"/>
      <w:r>
        <w:rPr>
          <w:rFonts w:ascii="Calibri" w:eastAsia="Times New Roman" w:hAnsi="Calibri" w:cs="Times New Roman"/>
          <w:sz w:val="24"/>
          <w:szCs w:val="24"/>
          <w:lang w:eastAsia="en-GB"/>
        </w:rPr>
        <w:t xml:space="preserve">bias and </w:t>
      </w:r>
      <w:r w:rsidRPr="000622C8">
        <w:rPr>
          <w:rFonts w:ascii="Calibri" w:eastAsia="Times New Roman" w:hAnsi="Calibri" w:cs="Times New Roman"/>
          <w:sz w:val="24"/>
          <w:szCs w:val="24"/>
          <w:lang w:eastAsia="en-GB"/>
        </w:rPr>
        <w:t>variance in the CO outputs</w:t>
      </w:r>
      <w:r>
        <w:rPr>
          <w:rFonts w:ascii="Calibri" w:eastAsia="Times New Roman" w:hAnsi="Calibri" w:cs="Times New Roman"/>
          <w:sz w:val="24"/>
          <w:szCs w:val="24"/>
          <w:lang w:eastAsia="en-GB"/>
        </w:rPr>
        <w:t xml:space="preserve"> and further evaluates the benefits of benchmarking to more detailed categories for household size.</w:t>
      </w:r>
      <w:bookmarkEnd w:id="3"/>
      <w:r>
        <w:rPr>
          <w:rFonts w:ascii="Calibri" w:eastAsia="Times New Roman" w:hAnsi="Calibri" w:cs="Times New Roman"/>
          <w:sz w:val="24"/>
          <w:szCs w:val="24"/>
          <w:lang w:eastAsia="en-GB"/>
        </w:rPr>
        <w:t xml:space="preserve"> A two-stage approach is used so donors are selected for missed households without first imputing persons into counted households. </w:t>
      </w:r>
      <w:r>
        <w:rPr>
          <w:sz w:val="24"/>
          <w:szCs w:val="24"/>
        </w:rPr>
        <w:t xml:space="preserve">The bias for a given category of a given variable is defined as the average of the CO counts over 100 runs minus the true benchmark value from the coverage estimation. A measure of variance is also given in the form of (or approximation for) a confidence interval. For a given category of a given variable, the approximation for the 95% confidence interval is the range within which 95% of the CO counts lie over the 100 runs and is defined by the 2.5 and 97.5 quantiles. </w:t>
      </w:r>
    </w:p>
    <w:p w14:paraId="5C0835A8" w14:textId="77777777" w:rsidR="00BF399A" w:rsidRPr="001766A7" w:rsidRDefault="00BF399A" w:rsidP="00BF399A">
      <w:pPr>
        <w:spacing w:before="120" w:line="240" w:lineRule="auto"/>
        <w:rPr>
          <w:color w:val="FF0000"/>
          <w:sz w:val="24"/>
          <w:szCs w:val="24"/>
        </w:rPr>
      </w:pPr>
      <w:r w:rsidRPr="00613399">
        <w:rPr>
          <w:sz w:val="24"/>
          <w:szCs w:val="24"/>
        </w:rPr>
        <w:t>The results obtained for the age sex by local authority, ethnicity, activity last week, household tenure and hard to count index were all found to have little or no bias and low variance for all the areas considered (for the categori</w:t>
      </w:r>
      <w:r>
        <w:rPr>
          <w:sz w:val="24"/>
          <w:szCs w:val="24"/>
        </w:rPr>
        <w:t>e</w:t>
      </w:r>
      <w:r w:rsidRPr="00613399">
        <w:rPr>
          <w:sz w:val="24"/>
          <w:szCs w:val="24"/>
        </w:rPr>
        <w:t>s considered).</w:t>
      </w:r>
      <w:r>
        <w:t xml:space="preserve"> </w:t>
      </w:r>
      <w:r>
        <w:rPr>
          <w:sz w:val="24"/>
          <w:szCs w:val="24"/>
        </w:rPr>
        <w:t xml:space="preserve">Table 2 </w:t>
      </w:r>
      <w:r>
        <w:rPr>
          <w:sz w:val="24"/>
        </w:rPr>
        <w:t xml:space="preserve">presents </w:t>
      </w:r>
      <w:r>
        <w:rPr>
          <w:sz w:val="24"/>
          <w:szCs w:val="24"/>
        </w:rPr>
        <w:t xml:space="preserve">measures of variance and bias in estimation area </w:t>
      </w:r>
      <w:r>
        <w:rPr>
          <w:sz w:val="24"/>
        </w:rPr>
        <w:t xml:space="preserve">EM05NSDE for all variables except </w:t>
      </w:r>
      <w:r>
        <w:rPr>
          <w:sz w:val="24"/>
          <w:szCs w:val="24"/>
        </w:rPr>
        <w:t>age-sex by local authority variable which contains 245 categories. However, the bias and variance were low across all the age-sex categories.</w:t>
      </w:r>
      <w:r>
        <w:t xml:space="preserve"> </w:t>
      </w:r>
      <w:r w:rsidRPr="009E68A9">
        <w:rPr>
          <w:sz w:val="24"/>
          <w:szCs w:val="24"/>
        </w:rPr>
        <w:t xml:space="preserve">The other </w:t>
      </w:r>
      <w:r>
        <w:rPr>
          <w:sz w:val="24"/>
          <w:szCs w:val="24"/>
        </w:rPr>
        <w:t xml:space="preserve">4 </w:t>
      </w:r>
      <w:r w:rsidRPr="009E68A9">
        <w:rPr>
          <w:sz w:val="24"/>
          <w:szCs w:val="24"/>
        </w:rPr>
        <w:t xml:space="preserve">estimation areas give </w:t>
      </w:r>
      <w:r>
        <w:rPr>
          <w:sz w:val="24"/>
          <w:szCs w:val="24"/>
        </w:rPr>
        <w:t xml:space="preserve">very </w:t>
      </w:r>
      <w:r w:rsidRPr="009E68A9">
        <w:rPr>
          <w:sz w:val="24"/>
          <w:szCs w:val="24"/>
        </w:rPr>
        <w:t xml:space="preserve">similar </w:t>
      </w:r>
      <w:r>
        <w:rPr>
          <w:sz w:val="24"/>
          <w:szCs w:val="24"/>
        </w:rPr>
        <w:t>CI</w:t>
      </w:r>
      <w:r w:rsidRPr="009E68A9">
        <w:rPr>
          <w:sz w:val="24"/>
          <w:szCs w:val="24"/>
        </w:rPr>
        <w:t xml:space="preserve"> widths across the </w:t>
      </w:r>
      <w:r>
        <w:rPr>
          <w:sz w:val="24"/>
          <w:szCs w:val="24"/>
        </w:rPr>
        <w:t xml:space="preserve">benchmark </w:t>
      </w:r>
      <w:r w:rsidRPr="009E68A9">
        <w:rPr>
          <w:sz w:val="24"/>
          <w:szCs w:val="24"/>
        </w:rPr>
        <w:t>variables, so most</w:t>
      </w:r>
      <w:r>
        <w:rPr>
          <w:sz w:val="24"/>
          <w:szCs w:val="24"/>
        </w:rPr>
        <w:t xml:space="preserve"> are</w:t>
      </w:r>
      <w:r w:rsidRPr="009E68A9">
        <w:rPr>
          <w:sz w:val="24"/>
          <w:szCs w:val="24"/>
        </w:rPr>
        <w:t xml:space="preserve"> very small. </w:t>
      </w:r>
      <w:r>
        <w:rPr>
          <w:sz w:val="24"/>
          <w:szCs w:val="24"/>
        </w:rPr>
        <w:t>The only larger CI widths are seen for</w:t>
      </w:r>
      <w:r w:rsidRPr="009E68A9">
        <w:rPr>
          <w:sz w:val="24"/>
          <w:szCs w:val="24"/>
        </w:rPr>
        <w:t xml:space="preserve"> </w:t>
      </w:r>
      <w:r w:rsidRPr="004B5A3E">
        <w:rPr>
          <w:sz w:val="24"/>
          <w:szCs w:val="24"/>
        </w:rPr>
        <w:t>the household size variable</w:t>
      </w:r>
      <w:r>
        <w:rPr>
          <w:sz w:val="24"/>
          <w:szCs w:val="24"/>
        </w:rPr>
        <w:t>, which again is similar</w:t>
      </w:r>
      <w:r w:rsidRPr="009E68A9">
        <w:rPr>
          <w:sz w:val="24"/>
          <w:szCs w:val="24"/>
        </w:rPr>
        <w:t xml:space="preserve"> for all EAs, </w:t>
      </w:r>
      <w:r>
        <w:rPr>
          <w:sz w:val="24"/>
          <w:szCs w:val="24"/>
        </w:rPr>
        <w:t xml:space="preserve">in that there are </w:t>
      </w:r>
      <w:r w:rsidRPr="009E68A9">
        <w:rPr>
          <w:sz w:val="24"/>
          <w:szCs w:val="24"/>
        </w:rPr>
        <w:t>larger widths for sizes 1 and 5+.</w:t>
      </w:r>
    </w:p>
    <w:p w14:paraId="41FF5CED" w14:textId="77777777" w:rsidR="00BF399A" w:rsidRDefault="00BF399A" w:rsidP="00BF399A">
      <w:pPr>
        <w:spacing w:line="240" w:lineRule="auto"/>
        <w:rPr>
          <w:sz w:val="24"/>
          <w:szCs w:val="24"/>
        </w:rPr>
      </w:pPr>
      <w:r>
        <w:rPr>
          <w:sz w:val="24"/>
          <w:szCs w:val="24"/>
        </w:rPr>
        <w:t xml:space="preserve">Tables 2 shows the results for the benchmark variables when the household size variable is treated as a five-level benchmark, </w:t>
      </w:r>
      <w:r>
        <w:rPr>
          <w:sz w:val="24"/>
        </w:rPr>
        <w:t xml:space="preserve">the advantage of </w:t>
      </w:r>
      <w:r>
        <w:rPr>
          <w:sz w:val="24"/>
          <w:szCs w:val="24"/>
        </w:rPr>
        <w:t>expanding the categories for household size</w:t>
      </w:r>
      <w:r w:rsidRPr="001C40FD">
        <w:rPr>
          <w:sz w:val="24"/>
          <w:szCs w:val="24"/>
        </w:rPr>
        <w:t xml:space="preserve"> </w:t>
      </w:r>
      <w:r>
        <w:rPr>
          <w:sz w:val="24"/>
          <w:szCs w:val="24"/>
        </w:rPr>
        <w:t xml:space="preserve">even though the TAE for the variable (as a whole) is greater than when collapsed to 3 categories is highlighted in Table 3. The results are presented with different categorisations of the household size variable whilst keeping the categories for the other variables unchanged. By running the CO process with household size as a three-level variable (1 person, 2 and 3+) the </w:t>
      </w:r>
      <w:r>
        <w:rPr>
          <w:sz w:val="24"/>
          <w:szCs w:val="24"/>
        </w:rPr>
        <w:lastRenderedPageBreak/>
        <w:t xml:space="preserve">benchmarks for four and five-person households are not being controlled (although outputs will be required for these larger household sizes). Table 3 shows the effect on the four and five-person households when household size is treated as a three-level benchmark in the CO process. Some bias is found in the larger households (3,4, 5+), although the relative biases are small. The results for household size are very similar for all five estimation areas. </w:t>
      </w:r>
    </w:p>
    <w:p w14:paraId="7C9CC357" w14:textId="77777777" w:rsidR="00BF399A" w:rsidRDefault="00BF399A" w:rsidP="00BF399A">
      <w:pPr>
        <w:rPr>
          <w:b/>
          <w:sz w:val="24"/>
        </w:rPr>
      </w:pPr>
      <w:r>
        <w:rPr>
          <w:b/>
          <w:sz w:val="24"/>
        </w:rPr>
        <w:t>Table 2: Estimates of bias, relative bias and variance for the CO results for estimation area EM05NSDE in the East Midlands, household size as five level benchmark, estimation area level benchmarks and estimation area level donor pool used in CO process</w:t>
      </w:r>
    </w:p>
    <w:tbl>
      <w:tblPr>
        <w:tblStyle w:val="TableGrid"/>
        <w:tblpPr w:leftFromText="180" w:rightFromText="180" w:vertAnchor="text" w:horzAnchor="margin" w:tblpY="44"/>
        <w:tblW w:w="10201" w:type="dxa"/>
        <w:tblInd w:w="0" w:type="dxa"/>
        <w:tblLayout w:type="fixed"/>
        <w:tblLook w:val="04A0" w:firstRow="1" w:lastRow="0" w:firstColumn="1" w:lastColumn="0" w:noHBand="0" w:noVBand="1"/>
      </w:tblPr>
      <w:tblGrid>
        <w:gridCol w:w="1694"/>
        <w:gridCol w:w="1839"/>
        <w:gridCol w:w="1234"/>
        <w:gridCol w:w="2599"/>
        <w:gridCol w:w="993"/>
        <w:gridCol w:w="1842"/>
      </w:tblGrid>
      <w:tr w:rsidR="00BF399A" w14:paraId="2086E2AD" w14:textId="77777777" w:rsidTr="00D308D9">
        <w:trPr>
          <w:tblHeader/>
        </w:trPr>
        <w:tc>
          <w:tcPr>
            <w:tcW w:w="1694" w:type="dxa"/>
            <w:tcBorders>
              <w:top w:val="single" w:sz="4" w:space="0" w:color="auto"/>
              <w:left w:val="single" w:sz="4" w:space="0" w:color="auto"/>
              <w:bottom w:val="single" w:sz="12" w:space="0" w:color="auto"/>
              <w:right w:val="single" w:sz="4" w:space="0" w:color="auto"/>
            </w:tcBorders>
            <w:hideMark/>
          </w:tcPr>
          <w:p w14:paraId="24FED93E" w14:textId="77777777" w:rsidR="00BF399A" w:rsidRDefault="00BF399A" w:rsidP="00D308D9">
            <w:r>
              <w:t>Variable</w:t>
            </w:r>
          </w:p>
        </w:tc>
        <w:tc>
          <w:tcPr>
            <w:tcW w:w="1839" w:type="dxa"/>
            <w:tcBorders>
              <w:top w:val="single" w:sz="4" w:space="0" w:color="auto"/>
              <w:left w:val="single" w:sz="4" w:space="0" w:color="auto"/>
              <w:bottom w:val="single" w:sz="12" w:space="0" w:color="auto"/>
              <w:right w:val="single" w:sz="4" w:space="0" w:color="auto"/>
            </w:tcBorders>
            <w:hideMark/>
          </w:tcPr>
          <w:p w14:paraId="5FE0E415" w14:textId="77777777" w:rsidR="00BF399A" w:rsidRDefault="00BF399A" w:rsidP="00D308D9">
            <w:r>
              <w:t>Average CO count over 100 runs</w:t>
            </w:r>
          </w:p>
        </w:tc>
        <w:tc>
          <w:tcPr>
            <w:tcW w:w="1234" w:type="dxa"/>
            <w:tcBorders>
              <w:top w:val="single" w:sz="4" w:space="0" w:color="auto"/>
              <w:left w:val="single" w:sz="4" w:space="0" w:color="auto"/>
              <w:bottom w:val="single" w:sz="12" w:space="0" w:color="auto"/>
              <w:right w:val="single" w:sz="4" w:space="0" w:color="auto"/>
            </w:tcBorders>
            <w:hideMark/>
          </w:tcPr>
          <w:p w14:paraId="519ADB2F" w14:textId="77777777" w:rsidR="00BF399A" w:rsidRDefault="00BF399A" w:rsidP="00D308D9">
            <w:r>
              <w:t>Benchmark value</w:t>
            </w:r>
          </w:p>
        </w:tc>
        <w:tc>
          <w:tcPr>
            <w:tcW w:w="2599" w:type="dxa"/>
            <w:tcBorders>
              <w:top w:val="single" w:sz="4" w:space="0" w:color="auto"/>
              <w:left w:val="single" w:sz="4" w:space="0" w:color="auto"/>
              <w:bottom w:val="single" w:sz="12" w:space="0" w:color="auto"/>
              <w:right w:val="single" w:sz="4" w:space="0" w:color="auto"/>
            </w:tcBorders>
            <w:hideMark/>
          </w:tcPr>
          <w:p w14:paraId="3CD786F2" w14:textId="77777777" w:rsidR="00BF399A" w:rsidRDefault="00BF399A" w:rsidP="00D308D9">
            <w:r>
              <w:t>Bias (= average of (CO count - benchmark value))</w:t>
            </w:r>
          </w:p>
        </w:tc>
        <w:tc>
          <w:tcPr>
            <w:tcW w:w="993" w:type="dxa"/>
            <w:tcBorders>
              <w:top w:val="single" w:sz="4" w:space="0" w:color="auto"/>
              <w:left w:val="single" w:sz="4" w:space="0" w:color="auto"/>
              <w:bottom w:val="single" w:sz="12" w:space="0" w:color="auto"/>
              <w:right w:val="single" w:sz="4" w:space="0" w:color="auto"/>
            </w:tcBorders>
            <w:hideMark/>
          </w:tcPr>
          <w:p w14:paraId="3360C8D5" w14:textId="77777777" w:rsidR="00BF399A" w:rsidRDefault="00BF399A" w:rsidP="00D308D9">
            <w:r>
              <w:t>Relative bias</w:t>
            </w:r>
          </w:p>
        </w:tc>
        <w:tc>
          <w:tcPr>
            <w:tcW w:w="1842" w:type="dxa"/>
            <w:tcBorders>
              <w:top w:val="single" w:sz="4" w:space="0" w:color="auto"/>
              <w:left w:val="single" w:sz="4" w:space="0" w:color="auto"/>
              <w:bottom w:val="single" w:sz="12" w:space="0" w:color="auto"/>
              <w:right w:val="single" w:sz="4" w:space="0" w:color="auto"/>
            </w:tcBorders>
            <w:hideMark/>
          </w:tcPr>
          <w:p w14:paraId="230561D5" w14:textId="77777777" w:rsidR="00BF399A" w:rsidRDefault="00BF399A" w:rsidP="00D308D9">
            <w:r>
              <w:t>95% CI for 100 CO counts</w:t>
            </w:r>
          </w:p>
        </w:tc>
      </w:tr>
      <w:tr w:rsidR="00BF399A" w14:paraId="437DFD77" w14:textId="77777777" w:rsidTr="00D308D9">
        <w:tc>
          <w:tcPr>
            <w:tcW w:w="1694" w:type="dxa"/>
            <w:tcBorders>
              <w:top w:val="single" w:sz="12" w:space="0" w:color="auto"/>
              <w:left w:val="single" w:sz="4" w:space="0" w:color="auto"/>
              <w:bottom w:val="single" w:sz="4" w:space="0" w:color="auto"/>
              <w:right w:val="single" w:sz="4" w:space="0" w:color="auto"/>
            </w:tcBorders>
            <w:hideMark/>
          </w:tcPr>
          <w:p w14:paraId="71B2C676" w14:textId="77777777" w:rsidR="00BF399A" w:rsidRDefault="00BF399A" w:rsidP="00D308D9">
            <w:pPr>
              <w:rPr>
                <w:b/>
              </w:rPr>
            </w:pPr>
            <w:r>
              <w:rPr>
                <w:b/>
              </w:rPr>
              <w:t>Tenure</w:t>
            </w:r>
          </w:p>
        </w:tc>
        <w:tc>
          <w:tcPr>
            <w:tcW w:w="1839" w:type="dxa"/>
            <w:tcBorders>
              <w:top w:val="single" w:sz="12" w:space="0" w:color="auto"/>
              <w:left w:val="single" w:sz="4" w:space="0" w:color="auto"/>
              <w:bottom w:val="single" w:sz="4" w:space="0" w:color="auto"/>
              <w:right w:val="single" w:sz="4" w:space="0" w:color="auto"/>
            </w:tcBorders>
          </w:tcPr>
          <w:p w14:paraId="72747EDF" w14:textId="77777777" w:rsidR="00BF399A" w:rsidRDefault="00BF399A" w:rsidP="00D308D9"/>
        </w:tc>
        <w:tc>
          <w:tcPr>
            <w:tcW w:w="1234" w:type="dxa"/>
            <w:tcBorders>
              <w:top w:val="single" w:sz="12" w:space="0" w:color="auto"/>
              <w:left w:val="single" w:sz="4" w:space="0" w:color="auto"/>
              <w:bottom w:val="single" w:sz="4" w:space="0" w:color="auto"/>
              <w:right w:val="single" w:sz="4" w:space="0" w:color="auto"/>
            </w:tcBorders>
          </w:tcPr>
          <w:p w14:paraId="7A342153" w14:textId="77777777" w:rsidR="00BF399A" w:rsidRDefault="00BF399A" w:rsidP="00D308D9"/>
        </w:tc>
        <w:tc>
          <w:tcPr>
            <w:tcW w:w="2599" w:type="dxa"/>
            <w:tcBorders>
              <w:top w:val="single" w:sz="12" w:space="0" w:color="auto"/>
              <w:left w:val="single" w:sz="4" w:space="0" w:color="auto"/>
              <w:bottom w:val="single" w:sz="4" w:space="0" w:color="auto"/>
              <w:right w:val="single" w:sz="4" w:space="0" w:color="auto"/>
            </w:tcBorders>
          </w:tcPr>
          <w:p w14:paraId="3CEF7825" w14:textId="77777777" w:rsidR="00BF399A" w:rsidRDefault="00BF399A" w:rsidP="00D308D9"/>
        </w:tc>
        <w:tc>
          <w:tcPr>
            <w:tcW w:w="993" w:type="dxa"/>
            <w:tcBorders>
              <w:top w:val="single" w:sz="12" w:space="0" w:color="auto"/>
              <w:left w:val="single" w:sz="4" w:space="0" w:color="auto"/>
              <w:bottom w:val="single" w:sz="4" w:space="0" w:color="auto"/>
              <w:right w:val="single" w:sz="4" w:space="0" w:color="auto"/>
            </w:tcBorders>
          </w:tcPr>
          <w:p w14:paraId="49E0FB2F" w14:textId="77777777" w:rsidR="00BF399A" w:rsidRDefault="00BF399A" w:rsidP="00D308D9"/>
        </w:tc>
        <w:tc>
          <w:tcPr>
            <w:tcW w:w="1842" w:type="dxa"/>
            <w:tcBorders>
              <w:top w:val="single" w:sz="12" w:space="0" w:color="auto"/>
              <w:left w:val="single" w:sz="4" w:space="0" w:color="auto"/>
              <w:bottom w:val="single" w:sz="4" w:space="0" w:color="auto"/>
              <w:right w:val="single" w:sz="4" w:space="0" w:color="auto"/>
            </w:tcBorders>
          </w:tcPr>
          <w:p w14:paraId="57110873" w14:textId="77777777" w:rsidR="00BF399A" w:rsidRDefault="00BF399A" w:rsidP="00D308D9"/>
        </w:tc>
      </w:tr>
      <w:tr w:rsidR="00BF399A" w14:paraId="4D924AB1"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5371A854" w14:textId="77777777" w:rsidR="00BF399A" w:rsidRDefault="00BF399A" w:rsidP="00D308D9">
            <w:r>
              <w:t>Owner Occupied</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A538026" w14:textId="77777777" w:rsidR="00BF399A" w:rsidRDefault="00BF399A" w:rsidP="00D308D9">
            <w:pPr>
              <w:jc w:val="right"/>
            </w:pPr>
            <w:r>
              <w:t>102774</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067FF49" w14:textId="77777777" w:rsidR="00BF399A" w:rsidRDefault="00BF399A" w:rsidP="00D308D9">
            <w:pPr>
              <w:jc w:val="right"/>
            </w:pPr>
            <w:r>
              <w:t>102774</w:t>
            </w:r>
          </w:p>
        </w:tc>
        <w:tc>
          <w:tcPr>
            <w:tcW w:w="2599" w:type="dxa"/>
            <w:tcBorders>
              <w:top w:val="single" w:sz="4" w:space="0" w:color="auto"/>
              <w:left w:val="single" w:sz="4" w:space="0" w:color="auto"/>
              <w:bottom w:val="single" w:sz="4" w:space="0" w:color="auto"/>
              <w:right w:val="single" w:sz="4" w:space="0" w:color="auto"/>
            </w:tcBorders>
            <w:vAlign w:val="center"/>
            <w:hideMark/>
          </w:tcPr>
          <w:p w14:paraId="30B93FF4"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D74277"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1DBAC0" w14:textId="77777777" w:rsidR="00BF399A" w:rsidRDefault="00BF399A" w:rsidP="00D308D9">
            <w:pPr>
              <w:jc w:val="right"/>
            </w:pPr>
            <w:r>
              <w:t>(102773,102775)</w:t>
            </w:r>
          </w:p>
        </w:tc>
      </w:tr>
      <w:tr w:rsidR="00BF399A" w14:paraId="04C7982C" w14:textId="77777777" w:rsidTr="00D308D9">
        <w:tc>
          <w:tcPr>
            <w:tcW w:w="1694" w:type="dxa"/>
            <w:tcBorders>
              <w:top w:val="single" w:sz="4" w:space="0" w:color="auto"/>
              <w:left w:val="single" w:sz="4" w:space="0" w:color="auto"/>
              <w:bottom w:val="single" w:sz="4" w:space="0" w:color="auto"/>
              <w:right w:val="single" w:sz="4" w:space="0" w:color="auto"/>
            </w:tcBorders>
          </w:tcPr>
          <w:p w14:paraId="00483435" w14:textId="77777777" w:rsidR="00BF399A" w:rsidRDefault="00BF399A" w:rsidP="00D308D9">
            <w:r>
              <w:t>Owns with mortgage or loan</w:t>
            </w:r>
          </w:p>
        </w:tc>
        <w:tc>
          <w:tcPr>
            <w:tcW w:w="1839" w:type="dxa"/>
            <w:tcBorders>
              <w:top w:val="single" w:sz="4" w:space="0" w:color="auto"/>
              <w:left w:val="single" w:sz="4" w:space="0" w:color="auto"/>
              <w:bottom w:val="single" w:sz="4" w:space="0" w:color="auto"/>
              <w:right w:val="single" w:sz="4" w:space="0" w:color="auto"/>
            </w:tcBorders>
            <w:vAlign w:val="center"/>
          </w:tcPr>
          <w:p w14:paraId="6D0788CD" w14:textId="77777777" w:rsidR="00BF399A" w:rsidRDefault="00BF399A" w:rsidP="00D308D9">
            <w:pPr>
              <w:jc w:val="right"/>
            </w:pPr>
            <w:r>
              <w:t>97977</w:t>
            </w:r>
          </w:p>
        </w:tc>
        <w:tc>
          <w:tcPr>
            <w:tcW w:w="1234" w:type="dxa"/>
            <w:tcBorders>
              <w:top w:val="single" w:sz="4" w:space="0" w:color="auto"/>
              <w:left w:val="single" w:sz="4" w:space="0" w:color="auto"/>
              <w:bottom w:val="single" w:sz="4" w:space="0" w:color="auto"/>
              <w:right w:val="single" w:sz="4" w:space="0" w:color="auto"/>
            </w:tcBorders>
            <w:vAlign w:val="center"/>
          </w:tcPr>
          <w:p w14:paraId="55181F7A" w14:textId="77777777" w:rsidR="00BF399A" w:rsidRDefault="00BF399A" w:rsidP="00D308D9">
            <w:pPr>
              <w:jc w:val="right"/>
            </w:pPr>
            <w:r>
              <w:t>97977</w:t>
            </w:r>
          </w:p>
        </w:tc>
        <w:tc>
          <w:tcPr>
            <w:tcW w:w="2599" w:type="dxa"/>
            <w:tcBorders>
              <w:top w:val="single" w:sz="4" w:space="0" w:color="auto"/>
              <w:left w:val="single" w:sz="4" w:space="0" w:color="auto"/>
              <w:bottom w:val="single" w:sz="4" w:space="0" w:color="auto"/>
              <w:right w:val="single" w:sz="4" w:space="0" w:color="auto"/>
            </w:tcBorders>
            <w:vAlign w:val="center"/>
          </w:tcPr>
          <w:p w14:paraId="197C6F0D"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tcPr>
          <w:p w14:paraId="55BD167F"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tcPr>
          <w:p w14:paraId="5214D8A2" w14:textId="77777777" w:rsidR="00BF399A" w:rsidRDefault="00BF399A" w:rsidP="00D308D9">
            <w:pPr>
              <w:jc w:val="right"/>
            </w:pPr>
            <w:r>
              <w:t>(97976,97978)</w:t>
            </w:r>
          </w:p>
        </w:tc>
      </w:tr>
      <w:tr w:rsidR="00BF399A" w14:paraId="644F1B22"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782570E0" w14:textId="77777777" w:rsidR="00BF399A" w:rsidRDefault="00BF399A" w:rsidP="00D308D9">
            <w:r>
              <w:t>Shared ownership</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F68379C" w14:textId="77777777" w:rsidR="00BF399A" w:rsidRDefault="00BF399A" w:rsidP="00D308D9">
            <w:pPr>
              <w:jc w:val="right"/>
            </w:pPr>
            <w:r>
              <w:t>1226</w:t>
            </w:r>
          </w:p>
        </w:tc>
        <w:tc>
          <w:tcPr>
            <w:tcW w:w="1234" w:type="dxa"/>
            <w:tcBorders>
              <w:top w:val="single" w:sz="4" w:space="0" w:color="auto"/>
              <w:left w:val="single" w:sz="4" w:space="0" w:color="auto"/>
              <w:bottom w:val="single" w:sz="4" w:space="0" w:color="auto"/>
              <w:right w:val="single" w:sz="4" w:space="0" w:color="auto"/>
            </w:tcBorders>
            <w:vAlign w:val="center"/>
            <w:hideMark/>
          </w:tcPr>
          <w:p w14:paraId="6C2A4DC9" w14:textId="77777777" w:rsidR="00BF399A" w:rsidRDefault="00BF399A" w:rsidP="00D308D9">
            <w:pPr>
              <w:jc w:val="right"/>
            </w:pPr>
            <w:r>
              <w:t>1226</w:t>
            </w:r>
          </w:p>
        </w:tc>
        <w:tc>
          <w:tcPr>
            <w:tcW w:w="2599" w:type="dxa"/>
            <w:tcBorders>
              <w:top w:val="single" w:sz="4" w:space="0" w:color="auto"/>
              <w:left w:val="single" w:sz="4" w:space="0" w:color="auto"/>
              <w:bottom w:val="single" w:sz="4" w:space="0" w:color="auto"/>
              <w:right w:val="single" w:sz="4" w:space="0" w:color="auto"/>
            </w:tcBorders>
            <w:vAlign w:val="center"/>
            <w:hideMark/>
          </w:tcPr>
          <w:p w14:paraId="2DF70A5D"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554C73"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862E098" w14:textId="77777777" w:rsidR="00BF399A" w:rsidRDefault="00BF399A" w:rsidP="00D308D9">
            <w:pPr>
              <w:jc w:val="right"/>
            </w:pPr>
            <w:r>
              <w:t>(1225,1227)</w:t>
            </w:r>
          </w:p>
        </w:tc>
      </w:tr>
      <w:tr w:rsidR="00BF399A" w14:paraId="6D8DF5E0"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49D0C11E" w14:textId="77777777" w:rsidR="00BF399A" w:rsidRDefault="00BF399A" w:rsidP="00D308D9">
            <w:r>
              <w:t>Renting</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88D669A" w14:textId="77777777" w:rsidR="00BF399A" w:rsidRDefault="00BF399A" w:rsidP="00D308D9">
            <w:pPr>
              <w:jc w:val="right"/>
            </w:pPr>
            <w:r>
              <w:t>78138</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3A5FF75" w14:textId="77777777" w:rsidR="00BF399A" w:rsidRDefault="00BF399A" w:rsidP="00D308D9">
            <w:pPr>
              <w:jc w:val="right"/>
            </w:pPr>
            <w:r>
              <w:t>78138</w:t>
            </w:r>
          </w:p>
        </w:tc>
        <w:tc>
          <w:tcPr>
            <w:tcW w:w="2599" w:type="dxa"/>
            <w:tcBorders>
              <w:top w:val="single" w:sz="4" w:space="0" w:color="auto"/>
              <w:left w:val="single" w:sz="4" w:space="0" w:color="auto"/>
              <w:bottom w:val="single" w:sz="4" w:space="0" w:color="auto"/>
              <w:right w:val="single" w:sz="4" w:space="0" w:color="auto"/>
            </w:tcBorders>
            <w:vAlign w:val="center"/>
            <w:hideMark/>
          </w:tcPr>
          <w:p w14:paraId="6245F95A"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7BE755"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9668875" w14:textId="77777777" w:rsidR="00BF399A" w:rsidRDefault="00BF399A" w:rsidP="00D308D9">
            <w:pPr>
              <w:jc w:val="right"/>
            </w:pPr>
            <w:r>
              <w:t>(78137,78139)</w:t>
            </w:r>
          </w:p>
        </w:tc>
      </w:tr>
      <w:tr w:rsidR="00BF399A" w14:paraId="08E9CD6E"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7A1E7880" w14:textId="77777777" w:rsidR="00BF399A" w:rsidRDefault="00BF399A" w:rsidP="00D308D9">
            <w:r>
              <w:t>Rent free</w:t>
            </w:r>
          </w:p>
        </w:tc>
        <w:tc>
          <w:tcPr>
            <w:tcW w:w="1839" w:type="dxa"/>
            <w:tcBorders>
              <w:top w:val="single" w:sz="4" w:space="0" w:color="auto"/>
              <w:left w:val="single" w:sz="4" w:space="0" w:color="auto"/>
              <w:bottom w:val="single" w:sz="4" w:space="0" w:color="auto"/>
              <w:right w:val="single" w:sz="4" w:space="0" w:color="auto"/>
            </w:tcBorders>
            <w:vAlign w:val="center"/>
            <w:hideMark/>
          </w:tcPr>
          <w:p w14:paraId="7E01B684" w14:textId="77777777" w:rsidR="00BF399A" w:rsidRDefault="00BF399A" w:rsidP="00D308D9">
            <w:pPr>
              <w:jc w:val="right"/>
            </w:pPr>
            <w:r>
              <w:t>3847</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2C3D513" w14:textId="77777777" w:rsidR="00BF399A" w:rsidRDefault="00BF399A" w:rsidP="00D308D9">
            <w:pPr>
              <w:jc w:val="right"/>
            </w:pPr>
            <w:r>
              <w:t>3847</w:t>
            </w:r>
          </w:p>
        </w:tc>
        <w:tc>
          <w:tcPr>
            <w:tcW w:w="2599" w:type="dxa"/>
            <w:tcBorders>
              <w:top w:val="single" w:sz="4" w:space="0" w:color="auto"/>
              <w:left w:val="single" w:sz="4" w:space="0" w:color="auto"/>
              <w:bottom w:val="single" w:sz="4" w:space="0" w:color="auto"/>
              <w:right w:val="single" w:sz="4" w:space="0" w:color="auto"/>
            </w:tcBorders>
            <w:vAlign w:val="center"/>
            <w:hideMark/>
          </w:tcPr>
          <w:p w14:paraId="4DD1FBC4"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B45B15"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116F60B" w14:textId="77777777" w:rsidR="00BF399A" w:rsidRDefault="00BF399A" w:rsidP="00D308D9">
            <w:pPr>
              <w:jc w:val="right"/>
            </w:pPr>
            <w:r>
              <w:t>(3846,3848)</w:t>
            </w:r>
          </w:p>
        </w:tc>
      </w:tr>
      <w:tr w:rsidR="00BF399A" w14:paraId="3B2B7BCD"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0C7AA8BD" w14:textId="77777777" w:rsidR="00BF399A" w:rsidRDefault="00BF399A" w:rsidP="00D308D9"/>
        </w:tc>
        <w:tc>
          <w:tcPr>
            <w:tcW w:w="1839" w:type="dxa"/>
            <w:tcBorders>
              <w:top w:val="single" w:sz="4" w:space="0" w:color="auto"/>
              <w:left w:val="single" w:sz="4" w:space="0" w:color="auto"/>
              <w:bottom w:val="single" w:sz="4" w:space="0" w:color="auto"/>
              <w:right w:val="single" w:sz="4" w:space="0" w:color="auto"/>
            </w:tcBorders>
            <w:vAlign w:val="center"/>
            <w:hideMark/>
          </w:tcPr>
          <w:p w14:paraId="58A821D7" w14:textId="77777777" w:rsidR="00BF399A" w:rsidRDefault="00BF399A" w:rsidP="00D308D9">
            <w:pPr>
              <w:jc w:val="right"/>
            </w:pPr>
          </w:p>
        </w:tc>
        <w:tc>
          <w:tcPr>
            <w:tcW w:w="1234" w:type="dxa"/>
            <w:tcBorders>
              <w:top w:val="single" w:sz="4" w:space="0" w:color="auto"/>
              <w:left w:val="single" w:sz="4" w:space="0" w:color="auto"/>
              <w:bottom w:val="single" w:sz="4" w:space="0" w:color="auto"/>
              <w:right w:val="single" w:sz="4" w:space="0" w:color="auto"/>
            </w:tcBorders>
            <w:vAlign w:val="center"/>
            <w:hideMark/>
          </w:tcPr>
          <w:p w14:paraId="45272460" w14:textId="77777777" w:rsidR="00BF399A" w:rsidRDefault="00BF399A" w:rsidP="00D308D9">
            <w:pPr>
              <w:jc w:val="right"/>
            </w:pPr>
          </w:p>
        </w:tc>
        <w:tc>
          <w:tcPr>
            <w:tcW w:w="2599" w:type="dxa"/>
            <w:tcBorders>
              <w:top w:val="single" w:sz="4" w:space="0" w:color="auto"/>
              <w:left w:val="single" w:sz="4" w:space="0" w:color="auto"/>
              <w:bottom w:val="single" w:sz="4" w:space="0" w:color="auto"/>
              <w:right w:val="single" w:sz="4" w:space="0" w:color="auto"/>
            </w:tcBorders>
            <w:vAlign w:val="center"/>
            <w:hideMark/>
          </w:tcPr>
          <w:p w14:paraId="09AB469A" w14:textId="77777777" w:rsidR="00BF399A" w:rsidRDefault="00BF399A" w:rsidP="00D308D9">
            <w:pPr>
              <w:jc w:val="right"/>
            </w:pPr>
          </w:p>
        </w:tc>
        <w:tc>
          <w:tcPr>
            <w:tcW w:w="993" w:type="dxa"/>
            <w:tcBorders>
              <w:top w:val="single" w:sz="4" w:space="0" w:color="auto"/>
              <w:left w:val="single" w:sz="4" w:space="0" w:color="auto"/>
              <w:bottom w:val="single" w:sz="4" w:space="0" w:color="auto"/>
              <w:right w:val="single" w:sz="4" w:space="0" w:color="auto"/>
            </w:tcBorders>
            <w:vAlign w:val="center"/>
            <w:hideMark/>
          </w:tcPr>
          <w:p w14:paraId="0AC03F9D" w14:textId="77777777" w:rsidR="00BF399A" w:rsidRDefault="00BF399A" w:rsidP="00D308D9">
            <w:pPr>
              <w:jc w:val="right"/>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C553052" w14:textId="77777777" w:rsidR="00BF399A" w:rsidRDefault="00BF399A" w:rsidP="00D308D9">
            <w:pPr>
              <w:jc w:val="right"/>
            </w:pPr>
          </w:p>
        </w:tc>
      </w:tr>
      <w:tr w:rsidR="00BF399A" w14:paraId="03192B25" w14:textId="77777777" w:rsidTr="00D308D9">
        <w:tc>
          <w:tcPr>
            <w:tcW w:w="1694" w:type="dxa"/>
            <w:tcBorders>
              <w:top w:val="single" w:sz="4" w:space="0" w:color="auto"/>
              <w:left w:val="single" w:sz="4" w:space="0" w:color="auto"/>
              <w:bottom w:val="single" w:sz="4" w:space="0" w:color="auto"/>
              <w:right w:val="single" w:sz="4" w:space="0" w:color="auto"/>
            </w:tcBorders>
          </w:tcPr>
          <w:p w14:paraId="0E39424A" w14:textId="77777777" w:rsidR="00BF399A" w:rsidRDefault="00BF399A" w:rsidP="00D308D9">
            <w:r>
              <w:rPr>
                <w:b/>
              </w:rPr>
              <w:t>Household size</w:t>
            </w:r>
          </w:p>
        </w:tc>
        <w:tc>
          <w:tcPr>
            <w:tcW w:w="1839" w:type="dxa"/>
            <w:tcBorders>
              <w:top w:val="single" w:sz="4" w:space="0" w:color="auto"/>
              <w:left w:val="single" w:sz="4" w:space="0" w:color="auto"/>
              <w:bottom w:val="single" w:sz="4" w:space="0" w:color="auto"/>
              <w:right w:val="single" w:sz="4" w:space="0" w:color="auto"/>
            </w:tcBorders>
            <w:vAlign w:val="center"/>
          </w:tcPr>
          <w:p w14:paraId="45B0CA0E" w14:textId="77777777" w:rsidR="00BF399A" w:rsidRDefault="00BF399A" w:rsidP="00D308D9">
            <w:pPr>
              <w:jc w:val="right"/>
            </w:pPr>
          </w:p>
        </w:tc>
        <w:tc>
          <w:tcPr>
            <w:tcW w:w="1234" w:type="dxa"/>
            <w:tcBorders>
              <w:top w:val="single" w:sz="4" w:space="0" w:color="auto"/>
              <w:left w:val="single" w:sz="4" w:space="0" w:color="auto"/>
              <w:bottom w:val="single" w:sz="4" w:space="0" w:color="auto"/>
              <w:right w:val="single" w:sz="4" w:space="0" w:color="auto"/>
            </w:tcBorders>
            <w:vAlign w:val="center"/>
          </w:tcPr>
          <w:p w14:paraId="2A444544" w14:textId="77777777" w:rsidR="00BF399A" w:rsidRDefault="00BF399A" w:rsidP="00D308D9">
            <w:pPr>
              <w:jc w:val="right"/>
            </w:pPr>
          </w:p>
        </w:tc>
        <w:tc>
          <w:tcPr>
            <w:tcW w:w="2599" w:type="dxa"/>
            <w:tcBorders>
              <w:top w:val="single" w:sz="4" w:space="0" w:color="auto"/>
              <w:left w:val="single" w:sz="4" w:space="0" w:color="auto"/>
              <w:bottom w:val="single" w:sz="4" w:space="0" w:color="auto"/>
              <w:right w:val="single" w:sz="4" w:space="0" w:color="auto"/>
            </w:tcBorders>
            <w:vAlign w:val="center"/>
          </w:tcPr>
          <w:p w14:paraId="182214CD" w14:textId="77777777" w:rsidR="00BF399A" w:rsidRDefault="00BF399A" w:rsidP="00D308D9">
            <w:pPr>
              <w:jc w:val="right"/>
            </w:pPr>
          </w:p>
        </w:tc>
        <w:tc>
          <w:tcPr>
            <w:tcW w:w="993" w:type="dxa"/>
            <w:tcBorders>
              <w:top w:val="single" w:sz="4" w:space="0" w:color="auto"/>
              <w:left w:val="single" w:sz="4" w:space="0" w:color="auto"/>
              <w:bottom w:val="single" w:sz="4" w:space="0" w:color="auto"/>
              <w:right w:val="single" w:sz="4" w:space="0" w:color="auto"/>
            </w:tcBorders>
            <w:vAlign w:val="center"/>
          </w:tcPr>
          <w:p w14:paraId="6E84C0CE" w14:textId="77777777" w:rsidR="00BF399A" w:rsidRDefault="00BF399A" w:rsidP="00D308D9">
            <w:pPr>
              <w:jc w:val="right"/>
            </w:pPr>
          </w:p>
        </w:tc>
        <w:tc>
          <w:tcPr>
            <w:tcW w:w="1842" w:type="dxa"/>
            <w:tcBorders>
              <w:top w:val="single" w:sz="4" w:space="0" w:color="auto"/>
              <w:left w:val="single" w:sz="4" w:space="0" w:color="auto"/>
              <w:bottom w:val="single" w:sz="4" w:space="0" w:color="auto"/>
              <w:right w:val="single" w:sz="4" w:space="0" w:color="auto"/>
            </w:tcBorders>
            <w:vAlign w:val="center"/>
          </w:tcPr>
          <w:p w14:paraId="75E591D9" w14:textId="77777777" w:rsidR="00BF399A" w:rsidRDefault="00BF399A" w:rsidP="00D308D9">
            <w:pPr>
              <w:jc w:val="right"/>
            </w:pPr>
          </w:p>
        </w:tc>
      </w:tr>
      <w:tr w:rsidR="00BF399A" w14:paraId="51E7C806"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7798E0E9" w14:textId="77777777" w:rsidR="00BF399A" w:rsidRDefault="00BF399A" w:rsidP="00D308D9">
            <w:pPr>
              <w:rPr>
                <w:b/>
              </w:rPr>
            </w:pPr>
            <w:r>
              <w:t>1</w:t>
            </w:r>
          </w:p>
        </w:tc>
        <w:tc>
          <w:tcPr>
            <w:tcW w:w="1839" w:type="dxa"/>
            <w:tcBorders>
              <w:top w:val="single" w:sz="4" w:space="0" w:color="auto"/>
              <w:left w:val="single" w:sz="4" w:space="0" w:color="auto"/>
              <w:bottom w:val="single" w:sz="4" w:space="0" w:color="auto"/>
              <w:right w:val="single" w:sz="4" w:space="0" w:color="auto"/>
            </w:tcBorders>
            <w:vAlign w:val="center"/>
          </w:tcPr>
          <w:p w14:paraId="3EF94CDF" w14:textId="77777777" w:rsidR="00BF399A" w:rsidRDefault="00BF399A" w:rsidP="00D308D9">
            <w:pPr>
              <w:jc w:val="right"/>
            </w:pPr>
            <w:r>
              <w:t>81824</w:t>
            </w:r>
          </w:p>
        </w:tc>
        <w:tc>
          <w:tcPr>
            <w:tcW w:w="1234" w:type="dxa"/>
            <w:tcBorders>
              <w:top w:val="single" w:sz="4" w:space="0" w:color="auto"/>
              <w:left w:val="single" w:sz="4" w:space="0" w:color="auto"/>
              <w:bottom w:val="single" w:sz="4" w:space="0" w:color="auto"/>
              <w:right w:val="single" w:sz="4" w:space="0" w:color="auto"/>
            </w:tcBorders>
            <w:vAlign w:val="center"/>
          </w:tcPr>
          <w:p w14:paraId="7D06EC16" w14:textId="77777777" w:rsidR="00BF399A" w:rsidRDefault="00BF399A" w:rsidP="00D308D9">
            <w:pPr>
              <w:jc w:val="right"/>
            </w:pPr>
            <w:r>
              <w:t>81682</w:t>
            </w:r>
          </w:p>
        </w:tc>
        <w:tc>
          <w:tcPr>
            <w:tcW w:w="2599" w:type="dxa"/>
            <w:tcBorders>
              <w:top w:val="single" w:sz="4" w:space="0" w:color="auto"/>
              <w:left w:val="single" w:sz="4" w:space="0" w:color="auto"/>
              <w:bottom w:val="single" w:sz="4" w:space="0" w:color="auto"/>
              <w:right w:val="single" w:sz="4" w:space="0" w:color="auto"/>
            </w:tcBorders>
            <w:vAlign w:val="center"/>
          </w:tcPr>
          <w:p w14:paraId="0D9C0979" w14:textId="77777777" w:rsidR="00BF399A" w:rsidRDefault="00BF399A" w:rsidP="00D308D9">
            <w:pPr>
              <w:jc w:val="right"/>
            </w:pPr>
            <w:r>
              <w:t>142</w:t>
            </w:r>
          </w:p>
        </w:tc>
        <w:tc>
          <w:tcPr>
            <w:tcW w:w="993" w:type="dxa"/>
            <w:tcBorders>
              <w:top w:val="single" w:sz="4" w:space="0" w:color="auto"/>
              <w:left w:val="single" w:sz="4" w:space="0" w:color="auto"/>
              <w:bottom w:val="single" w:sz="4" w:space="0" w:color="auto"/>
              <w:right w:val="single" w:sz="4" w:space="0" w:color="auto"/>
            </w:tcBorders>
            <w:vAlign w:val="center"/>
          </w:tcPr>
          <w:p w14:paraId="362415A3" w14:textId="77777777" w:rsidR="00BF399A" w:rsidRDefault="00BF399A" w:rsidP="00D308D9">
            <w:pPr>
              <w:jc w:val="right"/>
            </w:pPr>
            <w:r>
              <w:t>0.0018</w:t>
            </w:r>
          </w:p>
        </w:tc>
        <w:tc>
          <w:tcPr>
            <w:tcW w:w="1842" w:type="dxa"/>
            <w:tcBorders>
              <w:top w:val="single" w:sz="4" w:space="0" w:color="auto"/>
              <w:left w:val="single" w:sz="4" w:space="0" w:color="auto"/>
              <w:bottom w:val="single" w:sz="4" w:space="0" w:color="auto"/>
              <w:right w:val="single" w:sz="4" w:space="0" w:color="auto"/>
            </w:tcBorders>
            <w:vAlign w:val="center"/>
          </w:tcPr>
          <w:p w14:paraId="215EEE46" w14:textId="77777777" w:rsidR="00BF399A" w:rsidRDefault="00BF399A" w:rsidP="00D308D9">
            <w:pPr>
              <w:jc w:val="right"/>
            </w:pPr>
            <w:r>
              <w:t>(81814,81838)</w:t>
            </w:r>
          </w:p>
        </w:tc>
      </w:tr>
      <w:tr w:rsidR="00BF399A" w14:paraId="43830673"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43F16ACB" w14:textId="77777777" w:rsidR="00BF399A" w:rsidRDefault="00BF399A" w:rsidP="00D308D9">
            <w:r>
              <w:t>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1F9AB4B5" w14:textId="77777777" w:rsidR="00BF399A" w:rsidRDefault="00BF399A" w:rsidP="00D308D9">
            <w:pPr>
              <w:jc w:val="right"/>
            </w:pPr>
            <w:r>
              <w:t>107080</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D1337C2" w14:textId="77777777" w:rsidR="00BF399A" w:rsidRDefault="00BF399A" w:rsidP="00D308D9">
            <w:pPr>
              <w:jc w:val="right"/>
            </w:pPr>
            <w:r>
              <w:t>107079</w:t>
            </w:r>
          </w:p>
        </w:tc>
        <w:tc>
          <w:tcPr>
            <w:tcW w:w="2599" w:type="dxa"/>
            <w:tcBorders>
              <w:top w:val="single" w:sz="4" w:space="0" w:color="auto"/>
              <w:left w:val="single" w:sz="4" w:space="0" w:color="auto"/>
              <w:bottom w:val="single" w:sz="4" w:space="0" w:color="auto"/>
              <w:right w:val="single" w:sz="4" w:space="0" w:color="auto"/>
            </w:tcBorders>
            <w:vAlign w:val="center"/>
            <w:hideMark/>
          </w:tcPr>
          <w:p w14:paraId="354EC333" w14:textId="77777777" w:rsidR="00BF399A" w:rsidRDefault="00BF399A" w:rsidP="00D308D9">
            <w:pPr>
              <w:jc w:val="right"/>
            </w:pPr>
            <w: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A35E6F"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B6A992B" w14:textId="77777777" w:rsidR="00BF399A" w:rsidRDefault="00BF399A" w:rsidP="00D308D9">
            <w:pPr>
              <w:jc w:val="right"/>
            </w:pPr>
            <w:r>
              <w:t>(107078,107083)</w:t>
            </w:r>
          </w:p>
        </w:tc>
      </w:tr>
      <w:tr w:rsidR="00BF399A" w14:paraId="0625F990"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149B3F20" w14:textId="77777777" w:rsidR="00BF399A" w:rsidRDefault="00BF399A" w:rsidP="00D308D9">
            <w:r>
              <w:t>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2D15DD5" w14:textId="77777777" w:rsidR="00BF399A" w:rsidRDefault="00BF399A" w:rsidP="00D308D9">
            <w:pPr>
              <w:jc w:val="right"/>
            </w:pPr>
            <w:r>
              <w:t>44841</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509787D" w14:textId="77777777" w:rsidR="00BF399A" w:rsidRDefault="00BF399A" w:rsidP="00D308D9">
            <w:pPr>
              <w:jc w:val="right"/>
            </w:pPr>
            <w:r>
              <w:t>44841</w:t>
            </w:r>
          </w:p>
        </w:tc>
        <w:tc>
          <w:tcPr>
            <w:tcW w:w="2599" w:type="dxa"/>
            <w:tcBorders>
              <w:top w:val="single" w:sz="4" w:space="0" w:color="auto"/>
              <w:left w:val="single" w:sz="4" w:space="0" w:color="auto"/>
              <w:bottom w:val="single" w:sz="4" w:space="0" w:color="auto"/>
              <w:right w:val="single" w:sz="4" w:space="0" w:color="auto"/>
            </w:tcBorders>
            <w:vAlign w:val="center"/>
            <w:hideMark/>
          </w:tcPr>
          <w:p w14:paraId="67603185"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589A8C"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22DE7E5" w14:textId="77777777" w:rsidR="00BF399A" w:rsidRDefault="00BF399A" w:rsidP="00D308D9">
            <w:pPr>
              <w:jc w:val="right"/>
            </w:pPr>
            <w:r>
              <w:t>(44839,44843)</w:t>
            </w:r>
          </w:p>
        </w:tc>
      </w:tr>
      <w:tr w:rsidR="00BF399A" w14:paraId="03389CCE"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79E3B3B8" w14:textId="77777777" w:rsidR="00BF399A" w:rsidRDefault="00BF399A" w:rsidP="00D308D9">
            <w:r>
              <w:t>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F7292B4" w14:textId="77777777" w:rsidR="00BF399A" w:rsidRDefault="00BF399A" w:rsidP="00D308D9">
            <w:pPr>
              <w:jc w:val="right"/>
            </w:pPr>
            <w:r>
              <w:t>36181</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972DCC7" w14:textId="77777777" w:rsidR="00BF399A" w:rsidRDefault="00BF399A" w:rsidP="00D308D9">
            <w:pPr>
              <w:jc w:val="right"/>
            </w:pPr>
            <w:r>
              <w:t>36182</w:t>
            </w:r>
          </w:p>
        </w:tc>
        <w:tc>
          <w:tcPr>
            <w:tcW w:w="2599" w:type="dxa"/>
            <w:tcBorders>
              <w:top w:val="single" w:sz="4" w:space="0" w:color="auto"/>
              <w:left w:val="single" w:sz="4" w:space="0" w:color="auto"/>
              <w:bottom w:val="single" w:sz="4" w:space="0" w:color="auto"/>
              <w:right w:val="single" w:sz="4" w:space="0" w:color="auto"/>
            </w:tcBorders>
            <w:vAlign w:val="center"/>
            <w:hideMark/>
          </w:tcPr>
          <w:p w14:paraId="268CB2E2" w14:textId="77777777" w:rsidR="00BF399A" w:rsidRDefault="00BF399A" w:rsidP="00D308D9">
            <w:pPr>
              <w:jc w:val="right"/>
            </w:pPr>
            <w: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B753DA"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A18C489" w14:textId="77777777" w:rsidR="00BF399A" w:rsidRDefault="00BF399A" w:rsidP="00D308D9">
            <w:pPr>
              <w:jc w:val="right"/>
            </w:pPr>
            <w:r>
              <w:t>(36175,36182)</w:t>
            </w:r>
          </w:p>
        </w:tc>
      </w:tr>
      <w:tr w:rsidR="00BF399A" w14:paraId="530F89E2"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2DE446EE" w14:textId="77777777" w:rsidR="00BF399A" w:rsidRDefault="00BF399A" w:rsidP="00D308D9">
            <w: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981E5DE" w14:textId="77777777" w:rsidR="00BF399A" w:rsidRDefault="00BF399A" w:rsidP="00D308D9">
            <w:pPr>
              <w:jc w:val="right"/>
            </w:pPr>
            <w:r>
              <w:t>14036</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75C321D" w14:textId="77777777" w:rsidR="00BF399A" w:rsidRDefault="00BF399A" w:rsidP="00D308D9">
            <w:pPr>
              <w:jc w:val="right"/>
            </w:pPr>
            <w:r>
              <w:t>14178</w:t>
            </w:r>
          </w:p>
        </w:tc>
        <w:tc>
          <w:tcPr>
            <w:tcW w:w="2599" w:type="dxa"/>
            <w:tcBorders>
              <w:top w:val="single" w:sz="4" w:space="0" w:color="auto"/>
              <w:left w:val="single" w:sz="4" w:space="0" w:color="auto"/>
              <w:bottom w:val="single" w:sz="4" w:space="0" w:color="auto"/>
              <w:right w:val="single" w:sz="4" w:space="0" w:color="auto"/>
            </w:tcBorders>
            <w:vAlign w:val="center"/>
            <w:hideMark/>
          </w:tcPr>
          <w:p w14:paraId="26FB72C8" w14:textId="77777777" w:rsidR="00BF399A" w:rsidRDefault="00BF399A" w:rsidP="00D308D9">
            <w:pPr>
              <w:jc w:val="right"/>
            </w:pPr>
            <w:r>
              <w:t>-142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6F1A08" w14:textId="77777777" w:rsidR="00BF399A" w:rsidRDefault="00BF399A" w:rsidP="00D308D9">
            <w:pPr>
              <w:jc w:val="right"/>
            </w:pPr>
            <w:r>
              <w:t>-0.0100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C46614D" w14:textId="77777777" w:rsidR="00BF399A" w:rsidRDefault="00BF399A" w:rsidP="00D308D9">
            <w:pPr>
              <w:jc w:val="right"/>
            </w:pPr>
            <w:r>
              <w:t>(14023,14050)</w:t>
            </w:r>
          </w:p>
        </w:tc>
      </w:tr>
      <w:tr w:rsidR="00BF399A" w14:paraId="7C1BDBFF"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162984D0" w14:textId="77777777" w:rsidR="00BF399A" w:rsidRDefault="00BF399A" w:rsidP="00D308D9">
            <w:r>
              <w:rPr>
                <w:b/>
              </w:rPr>
              <w:t>Hard to count INDEX (lower = easier to count)</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1D8CDA5" w14:textId="77777777" w:rsidR="00BF399A" w:rsidRDefault="00BF399A" w:rsidP="00D308D9">
            <w:pPr>
              <w:jc w:val="right"/>
            </w:pPr>
          </w:p>
        </w:tc>
        <w:tc>
          <w:tcPr>
            <w:tcW w:w="1234" w:type="dxa"/>
            <w:tcBorders>
              <w:top w:val="single" w:sz="4" w:space="0" w:color="auto"/>
              <w:left w:val="single" w:sz="4" w:space="0" w:color="auto"/>
              <w:bottom w:val="single" w:sz="4" w:space="0" w:color="auto"/>
              <w:right w:val="single" w:sz="4" w:space="0" w:color="auto"/>
            </w:tcBorders>
            <w:vAlign w:val="center"/>
            <w:hideMark/>
          </w:tcPr>
          <w:p w14:paraId="0556019F" w14:textId="77777777" w:rsidR="00BF399A" w:rsidRDefault="00BF399A" w:rsidP="00D308D9">
            <w:pPr>
              <w:jc w:val="right"/>
            </w:pPr>
          </w:p>
        </w:tc>
        <w:tc>
          <w:tcPr>
            <w:tcW w:w="2599" w:type="dxa"/>
            <w:tcBorders>
              <w:top w:val="single" w:sz="4" w:space="0" w:color="auto"/>
              <w:left w:val="single" w:sz="4" w:space="0" w:color="auto"/>
              <w:bottom w:val="single" w:sz="4" w:space="0" w:color="auto"/>
              <w:right w:val="single" w:sz="4" w:space="0" w:color="auto"/>
            </w:tcBorders>
            <w:vAlign w:val="center"/>
            <w:hideMark/>
          </w:tcPr>
          <w:p w14:paraId="4F88D999" w14:textId="77777777" w:rsidR="00BF399A" w:rsidRDefault="00BF399A" w:rsidP="00D308D9">
            <w:pPr>
              <w:jc w:val="right"/>
            </w:pPr>
          </w:p>
        </w:tc>
        <w:tc>
          <w:tcPr>
            <w:tcW w:w="993" w:type="dxa"/>
            <w:tcBorders>
              <w:top w:val="single" w:sz="4" w:space="0" w:color="auto"/>
              <w:left w:val="single" w:sz="4" w:space="0" w:color="auto"/>
              <w:bottom w:val="single" w:sz="4" w:space="0" w:color="auto"/>
              <w:right w:val="single" w:sz="4" w:space="0" w:color="auto"/>
            </w:tcBorders>
            <w:vAlign w:val="center"/>
            <w:hideMark/>
          </w:tcPr>
          <w:p w14:paraId="50109C32" w14:textId="77777777" w:rsidR="00BF399A" w:rsidRDefault="00BF399A" w:rsidP="00D308D9">
            <w:pPr>
              <w:jc w:val="right"/>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8450D4C" w14:textId="77777777" w:rsidR="00BF399A" w:rsidRDefault="00BF399A" w:rsidP="00D308D9">
            <w:pPr>
              <w:jc w:val="right"/>
            </w:pPr>
          </w:p>
        </w:tc>
      </w:tr>
      <w:tr w:rsidR="00BF399A" w14:paraId="1591B2E5"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53D3B91A" w14:textId="77777777" w:rsidR="00BF399A" w:rsidRDefault="00BF399A" w:rsidP="00D308D9">
            <w:pPr>
              <w:rPr>
                <w:b/>
              </w:rPr>
            </w:pPr>
            <w:r>
              <w:t>1</w:t>
            </w:r>
          </w:p>
        </w:tc>
        <w:tc>
          <w:tcPr>
            <w:tcW w:w="1839" w:type="dxa"/>
            <w:tcBorders>
              <w:top w:val="single" w:sz="4" w:space="0" w:color="auto"/>
              <w:left w:val="single" w:sz="4" w:space="0" w:color="auto"/>
              <w:bottom w:val="single" w:sz="4" w:space="0" w:color="auto"/>
              <w:right w:val="single" w:sz="4" w:space="0" w:color="auto"/>
            </w:tcBorders>
            <w:vAlign w:val="center"/>
          </w:tcPr>
          <w:p w14:paraId="7C70F0D6" w14:textId="77777777" w:rsidR="00BF399A" w:rsidRDefault="00BF399A" w:rsidP="00D308D9">
            <w:pPr>
              <w:jc w:val="right"/>
            </w:pPr>
            <w:r>
              <w:t>203797</w:t>
            </w:r>
          </w:p>
        </w:tc>
        <w:tc>
          <w:tcPr>
            <w:tcW w:w="1234" w:type="dxa"/>
            <w:tcBorders>
              <w:top w:val="single" w:sz="4" w:space="0" w:color="auto"/>
              <w:left w:val="single" w:sz="4" w:space="0" w:color="auto"/>
              <w:bottom w:val="single" w:sz="4" w:space="0" w:color="auto"/>
              <w:right w:val="single" w:sz="4" w:space="0" w:color="auto"/>
            </w:tcBorders>
            <w:vAlign w:val="center"/>
          </w:tcPr>
          <w:p w14:paraId="13D42C25" w14:textId="77777777" w:rsidR="00BF399A" w:rsidRDefault="00BF399A" w:rsidP="00D308D9">
            <w:pPr>
              <w:jc w:val="right"/>
            </w:pPr>
            <w:r>
              <w:t>203797</w:t>
            </w:r>
          </w:p>
        </w:tc>
        <w:tc>
          <w:tcPr>
            <w:tcW w:w="2599" w:type="dxa"/>
            <w:tcBorders>
              <w:top w:val="single" w:sz="4" w:space="0" w:color="auto"/>
              <w:left w:val="single" w:sz="4" w:space="0" w:color="auto"/>
              <w:bottom w:val="single" w:sz="4" w:space="0" w:color="auto"/>
              <w:right w:val="single" w:sz="4" w:space="0" w:color="auto"/>
            </w:tcBorders>
            <w:vAlign w:val="center"/>
          </w:tcPr>
          <w:p w14:paraId="4DAE3838"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tcPr>
          <w:p w14:paraId="2FAF9FB3"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tcPr>
          <w:p w14:paraId="7F8E6A51" w14:textId="77777777" w:rsidR="00BF399A" w:rsidRDefault="00BF399A" w:rsidP="00D308D9">
            <w:pPr>
              <w:jc w:val="right"/>
            </w:pPr>
            <w:r>
              <w:t>(203796,203797)</w:t>
            </w:r>
          </w:p>
        </w:tc>
      </w:tr>
      <w:tr w:rsidR="00BF399A" w14:paraId="10560201"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1188AC46" w14:textId="77777777" w:rsidR="00BF399A" w:rsidRDefault="00BF399A" w:rsidP="00D308D9">
            <w:r>
              <w:t>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345ABEE" w14:textId="77777777" w:rsidR="00BF399A" w:rsidRDefault="00BF399A" w:rsidP="00D308D9">
            <w:pPr>
              <w:jc w:val="right"/>
            </w:pPr>
            <w:r>
              <w:t>80165</w:t>
            </w:r>
          </w:p>
        </w:tc>
        <w:tc>
          <w:tcPr>
            <w:tcW w:w="1234" w:type="dxa"/>
            <w:tcBorders>
              <w:top w:val="single" w:sz="4" w:space="0" w:color="auto"/>
              <w:left w:val="single" w:sz="4" w:space="0" w:color="auto"/>
              <w:bottom w:val="single" w:sz="4" w:space="0" w:color="auto"/>
              <w:right w:val="single" w:sz="4" w:space="0" w:color="auto"/>
            </w:tcBorders>
            <w:vAlign w:val="center"/>
            <w:hideMark/>
          </w:tcPr>
          <w:p w14:paraId="62E1B3A2" w14:textId="77777777" w:rsidR="00BF399A" w:rsidRDefault="00BF399A" w:rsidP="00D308D9">
            <w:pPr>
              <w:jc w:val="right"/>
            </w:pPr>
            <w:r>
              <w:t>80165</w:t>
            </w:r>
          </w:p>
        </w:tc>
        <w:tc>
          <w:tcPr>
            <w:tcW w:w="2599" w:type="dxa"/>
            <w:tcBorders>
              <w:top w:val="single" w:sz="4" w:space="0" w:color="auto"/>
              <w:left w:val="single" w:sz="4" w:space="0" w:color="auto"/>
              <w:bottom w:val="single" w:sz="4" w:space="0" w:color="auto"/>
              <w:right w:val="single" w:sz="4" w:space="0" w:color="auto"/>
            </w:tcBorders>
            <w:vAlign w:val="center"/>
            <w:hideMark/>
          </w:tcPr>
          <w:p w14:paraId="07B53675"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F6C97F"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F9CE04F" w14:textId="77777777" w:rsidR="00BF399A" w:rsidRDefault="00BF399A" w:rsidP="00D308D9">
            <w:pPr>
              <w:jc w:val="right"/>
            </w:pPr>
            <w:r>
              <w:t>(80165,80165)</w:t>
            </w:r>
          </w:p>
        </w:tc>
      </w:tr>
      <w:tr w:rsidR="00BF399A" w14:paraId="2B7F7D89"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4E97A8E5" w14:textId="77777777" w:rsidR="00BF399A" w:rsidRDefault="00BF399A" w:rsidP="00D308D9">
            <w:r>
              <w:rPr>
                <w:b/>
              </w:rPr>
              <w:t>Ethnicity</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B372C70" w14:textId="77777777" w:rsidR="00BF399A" w:rsidRDefault="00BF399A" w:rsidP="00D308D9">
            <w:pPr>
              <w:jc w:val="right"/>
            </w:pPr>
          </w:p>
        </w:tc>
        <w:tc>
          <w:tcPr>
            <w:tcW w:w="1234" w:type="dxa"/>
            <w:tcBorders>
              <w:top w:val="single" w:sz="4" w:space="0" w:color="auto"/>
              <w:left w:val="single" w:sz="4" w:space="0" w:color="auto"/>
              <w:bottom w:val="single" w:sz="4" w:space="0" w:color="auto"/>
              <w:right w:val="single" w:sz="4" w:space="0" w:color="auto"/>
            </w:tcBorders>
            <w:vAlign w:val="center"/>
            <w:hideMark/>
          </w:tcPr>
          <w:p w14:paraId="7EB096F5" w14:textId="77777777" w:rsidR="00BF399A" w:rsidRDefault="00BF399A" w:rsidP="00D308D9">
            <w:pPr>
              <w:jc w:val="right"/>
            </w:pPr>
          </w:p>
        </w:tc>
        <w:tc>
          <w:tcPr>
            <w:tcW w:w="2599" w:type="dxa"/>
            <w:tcBorders>
              <w:top w:val="single" w:sz="4" w:space="0" w:color="auto"/>
              <w:left w:val="single" w:sz="4" w:space="0" w:color="auto"/>
              <w:bottom w:val="single" w:sz="4" w:space="0" w:color="auto"/>
              <w:right w:val="single" w:sz="4" w:space="0" w:color="auto"/>
            </w:tcBorders>
            <w:vAlign w:val="center"/>
            <w:hideMark/>
          </w:tcPr>
          <w:p w14:paraId="579C1FC7" w14:textId="77777777" w:rsidR="00BF399A" w:rsidRDefault="00BF399A" w:rsidP="00D308D9">
            <w:pPr>
              <w:jc w:val="right"/>
            </w:pPr>
          </w:p>
        </w:tc>
        <w:tc>
          <w:tcPr>
            <w:tcW w:w="993" w:type="dxa"/>
            <w:tcBorders>
              <w:top w:val="single" w:sz="4" w:space="0" w:color="auto"/>
              <w:left w:val="single" w:sz="4" w:space="0" w:color="auto"/>
              <w:bottom w:val="single" w:sz="4" w:space="0" w:color="auto"/>
              <w:right w:val="single" w:sz="4" w:space="0" w:color="auto"/>
            </w:tcBorders>
            <w:vAlign w:val="center"/>
            <w:hideMark/>
          </w:tcPr>
          <w:p w14:paraId="1B7BE8FE" w14:textId="77777777" w:rsidR="00BF399A" w:rsidRDefault="00BF399A" w:rsidP="00D308D9">
            <w:pPr>
              <w:jc w:val="right"/>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BA607A0" w14:textId="77777777" w:rsidR="00BF399A" w:rsidRDefault="00BF399A" w:rsidP="00D308D9">
            <w:pPr>
              <w:jc w:val="right"/>
            </w:pPr>
          </w:p>
        </w:tc>
      </w:tr>
      <w:tr w:rsidR="00BF399A" w14:paraId="638DD9A6"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54FFC6B6" w14:textId="77777777" w:rsidR="00BF399A" w:rsidRDefault="00BF399A" w:rsidP="00D308D9">
            <w:pPr>
              <w:rPr>
                <w:b/>
              </w:rPr>
            </w:pPr>
            <w:r>
              <w:t>White</w:t>
            </w:r>
          </w:p>
        </w:tc>
        <w:tc>
          <w:tcPr>
            <w:tcW w:w="1839" w:type="dxa"/>
            <w:tcBorders>
              <w:top w:val="single" w:sz="4" w:space="0" w:color="auto"/>
              <w:left w:val="single" w:sz="4" w:space="0" w:color="auto"/>
              <w:bottom w:val="single" w:sz="4" w:space="0" w:color="auto"/>
              <w:right w:val="single" w:sz="4" w:space="0" w:color="auto"/>
            </w:tcBorders>
            <w:vAlign w:val="center"/>
          </w:tcPr>
          <w:p w14:paraId="73771B11" w14:textId="77777777" w:rsidR="00BF399A" w:rsidRDefault="00BF399A" w:rsidP="00D308D9">
            <w:pPr>
              <w:jc w:val="right"/>
            </w:pPr>
            <w:r>
              <w:t>631775</w:t>
            </w:r>
          </w:p>
        </w:tc>
        <w:tc>
          <w:tcPr>
            <w:tcW w:w="1234" w:type="dxa"/>
            <w:tcBorders>
              <w:top w:val="single" w:sz="4" w:space="0" w:color="auto"/>
              <w:left w:val="single" w:sz="4" w:space="0" w:color="auto"/>
              <w:bottom w:val="single" w:sz="4" w:space="0" w:color="auto"/>
              <w:right w:val="single" w:sz="4" w:space="0" w:color="auto"/>
            </w:tcBorders>
            <w:vAlign w:val="center"/>
          </w:tcPr>
          <w:p w14:paraId="3B564B0B" w14:textId="77777777" w:rsidR="00BF399A" w:rsidRDefault="00BF399A" w:rsidP="00D308D9">
            <w:pPr>
              <w:jc w:val="right"/>
            </w:pPr>
            <w:r>
              <w:t>631775</w:t>
            </w:r>
          </w:p>
        </w:tc>
        <w:tc>
          <w:tcPr>
            <w:tcW w:w="2599" w:type="dxa"/>
            <w:tcBorders>
              <w:top w:val="single" w:sz="4" w:space="0" w:color="auto"/>
              <w:left w:val="single" w:sz="4" w:space="0" w:color="auto"/>
              <w:bottom w:val="single" w:sz="4" w:space="0" w:color="auto"/>
              <w:right w:val="single" w:sz="4" w:space="0" w:color="auto"/>
            </w:tcBorders>
            <w:vAlign w:val="center"/>
          </w:tcPr>
          <w:p w14:paraId="7889C62D"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tcPr>
          <w:p w14:paraId="58849CBD"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tcPr>
          <w:p w14:paraId="727DEA2E" w14:textId="77777777" w:rsidR="00BF399A" w:rsidRDefault="00BF399A" w:rsidP="00D308D9">
            <w:pPr>
              <w:jc w:val="right"/>
            </w:pPr>
            <w:r>
              <w:t>(631774,631777)</w:t>
            </w:r>
          </w:p>
        </w:tc>
      </w:tr>
      <w:tr w:rsidR="00BF399A" w14:paraId="4E294585"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53E3A7B8" w14:textId="77777777" w:rsidR="00BF399A" w:rsidRDefault="00BF399A" w:rsidP="00D308D9">
            <w:r>
              <w:t>Mixed</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FA625B1" w14:textId="77777777" w:rsidR="00BF399A" w:rsidRDefault="00BF399A" w:rsidP="00D308D9">
            <w:pPr>
              <w:jc w:val="right"/>
            </w:pPr>
            <w:r>
              <w:t>7200</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400EE11" w14:textId="77777777" w:rsidR="00BF399A" w:rsidRDefault="00BF399A" w:rsidP="00D308D9">
            <w:pPr>
              <w:jc w:val="right"/>
            </w:pPr>
            <w:r>
              <w:t>7200</w:t>
            </w:r>
          </w:p>
        </w:tc>
        <w:tc>
          <w:tcPr>
            <w:tcW w:w="2599" w:type="dxa"/>
            <w:tcBorders>
              <w:top w:val="single" w:sz="4" w:space="0" w:color="auto"/>
              <w:left w:val="single" w:sz="4" w:space="0" w:color="auto"/>
              <w:bottom w:val="single" w:sz="4" w:space="0" w:color="auto"/>
              <w:right w:val="single" w:sz="4" w:space="0" w:color="auto"/>
            </w:tcBorders>
            <w:vAlign w:val="center"/>
            <w:hideMark/>
          </w:tcPr>
          <w:p w14:paraId="32B9B1D5"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E7FFF0"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7525F93" w14:textId="77777777" w:rsidR="00BF399A" w:rsidRDefault="00BF399A" w:rsidP="00D308D9">
            <w:pPr>
              <w:jc w:val="right"/>
            </w:pPr>
            <w:r>
              <w:t>(7199,7202)</w:t>
            </w:r>
          </w:p>
        </w:tc>
      </w:tr>
      <w:tr w:rsidR="00BF399A" w14:paraId="4D72DFC8"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205CE539" w14:textId="77777777" w:rsidR="00BF399A" w:rsidRDefault="00BF399A" w:rsidP="00D308D9">
            <w:r>
              <w:t>Asian</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6D27062" w14:textId="77777777" w:rsidR="00BF399A" w:rsidRDefault="00BF399A" w:rsidP="00D308D9">
            <w:pPr>
              <w:jc w:val="right"/>
            </w:pPr>
            <w:r>
              <w:t>8161</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22E2DAD" w14:textId="77777777" w:rsidR="00BF399A" w:rsidRDefault="00BF399A" w:rsidP="00D308D9">
            <w:pPr>
              <w:jc w:val="right"/>
            </w:pPr>
            <w:r>
              <w:t>8161</w:t>
            </w:r>
          </w:p>
        </w:tc>
        <w:tc>
          <w:tcPr>
            <w:tcW w:w="2599" w:type="dxa"/>
            <w:tcBorders>
              <w:top w:val="single" w:sz="4" w:space="0" w:color="auto"/>
              <w:left w:val="single" w:sz="4" w:space="0" w:color="auto"/>
              <w:bottom w:val="single" w:sz="4" w:space="0" w:color="auto"/>
              <w:right w:val="single" w:sz="4" w:space="0" w:color="auto"/>
            </w:tcBorders>
            <w:vAlign w:val="center"/>
            <w:hideMark/>
          </w:tcPr>
          <w:p w14:paraId="709B2A06"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A822D7"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C4D52EB" w14:textId="77777777" w:rsidR="00BF399A" w:rsidRDefault="00BF399A" w:rsidP="00D308D9">
            <w:pPr>
              <w:jc w:val="right"/>
            </w:pPr>
            <w:r>
              <w:t>(8160,8163)</w:t>
            </w:r>
          </w:p>
        </w:tc>
      </w:tr>
      <w:tr w:rsidR="00BF399A" w14:paraId="49BE0725"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4AFFD066" w14:textId="77777777" w:rsidR="00BF399A" w:rsidRDefault="00BF399A" w:rsidP="00D308D9">
            <w:r>
              <w:t>Black</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2EAC39A" w14:textId="77777777" w:rsidR="00BF399A" w:rsidRDefault="00BF399A" w:rsidP="00D308D9">
            <w:pPr>
              <w:jc w:val="right"/>
            </w:pPr>
            <w:r>
              <w:t>2138</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35ED007" w14:textId="77777777" w:rsidR="00BF399A" w:rsidRDefault="00BF399A" w:rsidP="00D308D9">
            <w:pPr>
              <w:jc w:val="right"/>
            </w:pPr>
            <w:r>
              <w:t>2138</w:t>
            </w:r>
          </w:p>
        </w:tc>
        <w:tc>
          <w:tcPr>
            <w:tcW w:w="2599" w:type="dxa"/>
            <w:tcBorders>
              <w:top w:val="single" w:sz="4" w:space="0" w:color="auto"/>
              <w:left w:val="single" w:sz="4" w:space="0" w:color="auto"/>
              <w:bottom w:val="single" w:sz="4" w:space="0" w:color="auto"/>
              <w:right w:val="single" w:sz="4" w:space="0" w:color="auto"/>
            </w:tcBorders>
            <w:vAlign w:val="center"/>
            <w:hideMark/>
          </w:tcPr>
          <w:p w14:paraId="375F514B"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BE7F4A"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D2619F1" w14:textId="77777777" w:rsidR="00BF399A" w:rsidRDefault="00BF399A" w:rsidP="00D308D9">
            <w:pPr>
              <w:jc w:val="right"/>
            </w:pPr>
            <w:r>
              <w:t>(2137,2140)</w:t>
            </w:r>
          </w:p>
        </w:tc>
      </w:tr>
      <w:tr w:rsidR="00BF399A" w14:paraId="3C10C4FE" w14:textId="77777777" w:rsidTr="00D308D9">
        <w:tc>
          <w:tcPr>
            <w:tcW w:w="1694" w:type="dxa"/>
            <w:tcBorders>
              <w:top w:val="single" w:sz="4" w:space="0" w:color="auto"/>
              <w:left w:val="single" w:sz="4" w:space="0" w:color="auto"/>
              <w:bottom w:val="single" w:sz="4" w:space="0" w:color="auto"/>
              <w:right w:val="single" w:sz="4" w:space="0" w:color="auto"/>
            </w:tcBorders>
            <w:hideMark/>
          </w:tcPr>
          <w:p w14:paraId="1A24F30E" w14:textId="77777777" w:rsidR="00BF399A" w:rsidRDefault="00BF399A" w:rsidP="00D308D9">
            <w:r>
              <w:t>Other</w:t>
            </w:r>
          </w:p>
        </w:tc>
        <w:tc>
          <w:tcPr>
            <w:tcW w:w="1839" w:type="dxa"/>
            <w:tcBorders>
              <w:top w:val="single" w:sz="4" w:space="0" w:color="auto"/>
              <w:left w:val="single" w:sz="4" w:space="0" w:color="auto"/>
              <w:bottom w:val="single" w:sz="4" w:space="0" w:color="auto"/>
              <w:right w:val="single" w:sz="4" w:space="0" w:color="auto"/>
            </w:tcBorders>
            <w:vAlign w:val="center"/>
            <w:hideMark/>
          </w:tcPr>
          <w:p w14:paraId="168D270C" w14:textId="77777777" w:rsidR="00BF399A" w:rsidRDefault="00BF399A" w:rsidP="00D308D9">
            <w:pPr>
              <w:jc w:val="right"/>
            </w:pPr>
            <w:r>
              <w:t>808</w:t>
            </w:r>
          </w:p>
        </w:tc>
        <w:tc>
          <w:tcPr>
            <w:tcW w:w="1234" w:type="dxa"/>
            <w:tcBorders>
              <w:top w:val="single" w:sz="4" w:space="0" w:color="auto"/>
              <w:left w:val="single" w:sz="4" w:space="0" w:color="auto"/>
              <w:bottom w:val="single" w:sz="4" w:space="0" w:color="auto"/>
              <w:right w:val="single" w:sz="4" w:space="0" w:color="auto"/>
            </w:tcBorders>
            <w:vAlign w:val="center"/>
            <w:hideMark/>
          </w:tcPr>
          <w:p w14:paraId="401FAB5C" w14:textId="77777777" w:rsidR="00BF399A" w:rsidRDefault="00BF399A" w:rsidP="00D308D9">
            <w:pPr>
              <w:jc w:val="right"/>
            </w:pPr>
            <w:r>
              <w:t>808</w:t>
            </w:r>
          </w:p>
        </w:tc>
        <w:tc>
          <w:tcPr>
            <w:tcW w:w="2599" w:type="dxa"/>
            <w:tcBorders>
              <w:top w:val="single" w:sz="4" w:space="0" w:color="auto"/>
              <w:left w:val="single" w:sz="4" w:space="0" w:color="auto"/>
              <w:bottom w:val="single" w:sz="4" w:space="0" w:color="auto"/>
              <w:right w:val="single" w:sz="4" w:space="0" w:color="auto"/>
            </w:tcBorders>
            <w:vAlign w:val="center"/>
            <w:hideMark/>
          </w:tcPr>
          <w:p w14:paraId="19FDC483"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689222"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1BAF333" w14:textId="77777777" w:rsidR="00BF399A" w:rsidRDefault="00BF399A" w:rsidP="00D308D9">
            <w:pPr>
              <w:jc w:val="right"/>
            </w:pPr>
            <w:r>
              <w:t>(807,810)</w:t>
            </w:r>
          </w:p>
        </w:tc>
      </w:tr>
      <w:tr w:rsidR="00BF399A" w14:paraId="39ECDF5F" w14:textId="77777777" w:rsidTr="00D308D9">
        <w:tc>
          <w:tcPr>
            <w:tcW w:w="1694" w:type="dxa"/>
            <w:tcBorders>
              <w:top w:val="single" w:sz="4" w:space="0" w:color="auto"/>
              <w:left w:val="single" w:sz="4" w:space="0" w:color="auto"/>
              <w:bottom w:val="single" w:sz="4" w:space="0" w:color="auto"/>
              <w:right w:val="single" w:sz="4" w:space="0" w:color="auto"/>
            </w:tcBorders>
          </w:tcPr>
          <w:p w14:paraId="6A621977" w14:textId="77777777" w:rsidR="00BF399A" w:rsidRDefault="00BF399A" w:rsidP="00D308D9">
            <w:r>
              <w:rPr>
                <w:b/>
              </w:rPr>
              <w:t>Activity last week</w:t>
            </w:r>
          </w:p>
        </w:tc>
        <w:tc>
          <w:tcPr>
            <w:tcW w:w="1839" w:type="dxa"/>
            <w:tcBorders>
              <w:top w:val="single" w:sz="4" w:space="0" w:color="auto"/>
              <w:left w:val="single" w:sz="4" w:space="0" w:color="auto"/>
              <w:bottom w:val="single" w:sz="4" w:space="0" w:color="auto"/>
              <w:right w:val="single" w:sz="4" w:space="0" w:color="auto"/>
            </w:tcBorders>
            <w:vAlign w:val="center"/>
          </w:tcPr>
          <w:p w14:paraId="5077D839" w14:textId="77777777" w:rsidR="00BF399A" w:rsidRDefault="00BF399A" w:rsidP="00D308D9">
            <w:pPr>
              <w:jc w:val="right"/>
            </w:pPr>
          </w:p>
        </w:tc>
        <w:tc>
          <w:tcPr>
            <w:tcW w:w="1234" w:type="dxa"/>
            <w:tcBorders>
              <w:top w:val="single" w:sz="4" w:space="0" w:color="auto"/>
              <w:left w:val="single" w:sz="4" w:space="0" w:color="auto"/>
              <w:bottom w:val="single" w:sz="4" w:space="0" w:color="auto"/>
              <w:right w:val="single" w:sz="4" w:space="0" w:color="auto"/>
            </w:tcBorders>
            <w:vAlign w:val="center"/>
          </w:tcPr>
          <w:p w14:paraId="20AEF56D" w14:textId="77777777" w:rsidR="00BF399A" w:rsidRDefault="00BF399A" w:rsidP="00D308D9">
            <w:pPr>
              <w:jc w:val="right"/>
            </w:pPr>
          </w:p>
        </w:tc>
        <w:tc>
          <w:tcPr>
            <w:tcW w:w="2599" w:type="dxa"/>
            <w:tcBorders>
              <w:top w:val="single" w:sz="4" w:space="0" w:color="auto"/>
              <w:left w:val="single" w:sz="4" w:space="0" w:color="auto"/>
              <w:bottom w:val="single" w:sz="4" w:space="0" w:color="auto"/>
              <w:right w:val="single" w:sz="4" w:space="0" w:color="auto"/>
            </w:tcBorders>
            <w:vAlign w:val="center"/>
          </w:tcPr>
          <w:p w14:paraId="730A0D98" w14:textId="77777777" w:rsidR="00BF399A" w:rsidRDefault="00BF399A" w:rsidP="00D308D9">
            <w:pPr>
              <w:jc w:val="right"/>
            </w:pPr>
          </w:p>
        </w:tc>
        <w:tc>
          <w:tcPr>
            <w:tcW w:w="993" w:type="dxa"/>
            <w:tcBorders>
              <w:top w:val="single" w:sz="4" w:space="0" w:color="auto"/>
              <w:left w:val="single" w:sz="4" w:space="0" w:color="auto"/>
              <w:bottom w:val="single" w:sz="4" w:space="0" w:color="auto"/>
              <w:right w:val="single" w:sz="4" w:space="0" w:color="auto"/>
            </w:tcBorders>
            <w:vAlign w:val="center"/>
          </w:tcPr>
          <w:p w14:paraId="63B8667E" w14:textId="77777777" w:rsidR="00BF399A" w:rsidRDefault="00BF399A" w:rsidP="00D308D9">
            <w:pPr>
              <w:jc w:val="right"/>
            </w:pPr>
          </w:p>
        </w:tc>
        <w:tc>
          <w:tcPr>
            <w:tcW w:w="1842" w:type="dxa"/>
            <w:tcBorders>
              <w:top w:val="single" w:sz="4" w:space="0" w:color="auto"/>
              <w:left w:val="single" w:sz="4" w:space="0" w:color="auto"/>
              <w:bottom w:val="single" w:sz="4" w:space="0" w:color="auto"/>
              <w:right w:val="single" w:sz="4" w:space="0" w:color="auto"/>
            </w:tcBorders>
            <w:vAlign w:val="center"/>
          </w:tcPr>
          <w:p w14:paraId="3440EDBB" w14:textId="77777777" w:rsidR="00BF399A" w:rsidRDefault="00BF399A" w:rsidP="00D308D9">
            <w:pPr>
              <w:jc w:val="right"/>
            </w:pPr>
          </w:p>
        </w:tc>
      </w:tr>
      <w:tr w:rsidR="00BF399A" w14:paraId="6E63B2B7" w14:textId="77777777" w:rsidTr="00D308D9">
        <w:tc>
          <w:tcPr>
            <w:tcW w:w="1694" w:type="dxa"/>
            <w:tcBorders>
              <w:top w:val="single" w:sz="4" w:space="0" w:color="auto"/>
              <w:left w:val="single" w:sz="4" w:space="0" w:color="auto"/>
              <w:bottom w:val="single" w:sz="4" w:space="0" w:color="auto"/>
              <w:right w:val="single" w:sz="4" w:space="0" w:color="auto"/>
            </w:tcBorders>
          </w:tcPr>
          <w:p w14:paraId="4F422171" w14:textId="77777777" w:rsidR="00BF399A" w:rsidRDefault="00BF399A" w:rsidP="00D308D9">
            <w:r>
              <w:t>Employed</w:t>
            </w:r>
          </w:p>
        </w:tc>
        <w:tc>
          <w:tcPr>
            <w:tcW w:w="1839" w:type="dxa"/>
            <w:tcBorders>
              <w:top w:val="single" w:sz="4" w:space="0" w:color="auto"/>
              <w:left w:val="single" w:sz="4" w:space="0" w:color="auto"/>
              <w:bottom w:val="single" w:sz="4" w:space="0" w:color="auto"/>
              <w:right w:val="single" w:sz="4" w:space="0" w:color="auto"/>
            </w:tcBorders>
            <w:vAlign w:val="center"/>
          </w:tcPr>
          <w:p w14:paraId="3709D567" w14:textId="77777777" w:rsidR="00BF399A" w:rsidRDefault="00BF399A" w:rsidP="00D308D9">
            <w:pPr>
              <w:jc w:val="right"/>
            </w:pPr>
            <w:r>
              <w:t>316280</w:t>
            </w:r>
          </w:p>
        </w:tc>
        <w:tc>
          <w:tcPr>
            <w:tcW w:w="1234" w:type="dxa"/>
            <w:tcBorders>
              <w:top w:val="single" w:sz="4" w:space="0" w:color="auto"/>
              <w:left w:val="single" w:sz="4" w:space="0" w:color="auto"/>
              <w:bottom w:val="single" w:sz="4" w:space="0" w:color="auto"/>
              <w:right w:val="single" w:sz="4" w:space="0" w:color="auto"/>
            </w:tcBorders>
            <w:vAlign w:val="center"/>
          </w:tcPr>
          <w:p w14:paraId="0F4C92BC" w14:textId="77777777" w:rsidR="00BF399A" w:rsidRDefault="00BF399A" w:rsidP="00D308D9">
            <w:pPr>
              <w:jc w:val="right"/>
            </w:pPr>
            <w:r>
              <w:t>316280</w:t>
            </w:r>
          </w:p>
        </w:tc>
        <w:tc>
          <w:tcPr>
            <w:tcW w:w="2599" w:type="dxa"/>
            <w:tcBorders>
              <w:top w:val="single" w:sz="4" w:space="0" w:color="auto"/>
              <w:left w:val="single" w:sz="4" w:space="0" w:color="auto"/>
              <w:bottom w:val="single" w:sz="4" w:space="0" w:color="auto"/>
              <w:right w:val="single" w:sz="4" w:space="0" w:color="auto"/>
            </w:tcBorders>
            <w:vAlign w:val="center"/>
          </w:tcPr>
          <w:p w14:paraId="07A5E043"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tcPr>
          <w:p w14:paraId="01991308"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tcPr>
          <w:p w14:paraId="687BBF38" w14:textId="77777777" w:rsidR="00BF399A" w:rsidRDefault="00BF399A" w:rsidP="00D308D9">
            <w:pPr>
              <w:jc w:val="right"/>
            </w:pPr>
            <w:r>
              <w:t>(316279,316282)</w:t>
            </w:r>
          </w:p>
        </w:tc>
      </w:tr>
      <w:tr w:rsidR="00BF399A" w14:paraId="343E2E31" w14:textId="77777777" w:rsidTr="00D308D9">
        <w:tc>
          <w:tcPr>
            <w:tcW w:w="1694" w:type="dxa"/>
            <w:tcBorders>
              <w:top w:val="single" w:sz="4" w:space="0" w:color="auto"/>
              <w:left w:val="single" w:sz="4" w:space="0" w:color="auto"/>
              <w:bottom w:val="single" w:sz="4" w:space="0" w:color="auto"/>
              <w:right w:val="single" w:sz="4" w:space="0" w:color="auto"/>
            </w:tcBorders>
          </w:tcPr>
          <w:p w14:paraId="01CC06F4" w14:textId="77777777" w:rsidR="00BF399A" w:rsidRDefault="00BF399A" w:rsidP="00D308D9">
            <w:r>
              <w:t>Unemployed</w:t>
            </w:r>
          </w:p>
        </w:tc>
        <w:tc>
          <w:tcPr>
            <w:tcW w:w="1839" w:type="dxa"/>
            <w:tcBorders>
              <w:top w:val="single" w:sz="4" w:space="0" w:color="auto"/>
              <w:left w:val="single" w:sz="4" w:space="0" w:color="auto"/>
              <w:bottom w:val="single" w:sz="4" w:space="0" w:color="auto"/>
              <w:right w:val="single" w:sz="4" w:space="0" w:color="auto"/>
            </w:tcBorders>
            <w:vAlign w:val="center"/>
          </w:tcPr>
          <w:p w14:paraId="0B33647C" w14:textId="77777777" w:rsidR="00BF399A" w:rsidRDefault="00BF399A" w:rsidP="00D308D9">
            <w:pPr>
              <w:jc w:val="right"/>
            </w:pPr>
            <w:r>
              <w:t>28763</w:t>
            </w:r>
          </w:p>
        </w:tc>
        <w:tc>
          <w:tcPr>
            <w:tcW w:w="1234" w:type="dxa"/>
            <w:tcBorders>
              <w:top w:val="single" w:sz="4" w:space="0" w:color="auto"/>
              <w:left w:val="single" w:sz="4" w:space="0" w:color="auto"/>
              <w:bottom w:val="single" w:sz="4" w:space="0" w:color="auto"/>
              <w:right w:val="single" w:sz="4" w:space="0" w:color="auto"/>
            </w:tcBorders>
            <w:vAlign w:val="center"/>
          </w:tcPr>
          <w:p w14:paraId="4DA2921C" w14:textId="77777777" w:rsidR="00BF399A" w:rsidRDefault="00BF399A" w:rsidP="00D308D9">
            <w:pPr>
              <w:jc w:val="right"/>
            </w:pPr>
            <w:r>
              <w:t>28763</w:t>
            </w:r>
          </w:p>
        </w:tc>
        <w:tc>
          <w:tcPr>
            <w:tcW w:w="2599" w:type="dxa"/>
            <w:tcBorders>
              <w:top w:val="single" w:sz="4" w:space="0" w:color="auto"/>
              <w:left w:val="single" w:sz="4" w:space="0" w:color="auto"/>
              <w:bottom w:val="single" w:sz="4" w:space="0" w:color="auto"/>
              <w:right w:val="single" w:sz="4" w:space="0" w:color="auto"/>
            </w:tcBorders>
            <w:vAlign w:val="center"/>
          </w:tcPr>
          <w:p w14:paraId="70CC1B52"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tcPr>
          <w:p w14:paraId="6140FD91"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tcPr>
          <w:p w14:paraId="154C895B" w14:textId="77777777" w:rsidR="00BF399A" w:rsidRDefault="00BF399A" w:rsidP="00D308D9">
            <w:pPr>
              <w:jc w:val="right"/>
            </w:pPr>
            <w:r>
              <w:t>(28762,28766)</w:t>
            </w:r>
          </w:p>
        </w:tc>
      </w:tr>
      <w:tr w:rsidR="00BF399A" w14:paraId="0546E880" w14:textId="77777777" w:rsidTr="00D308D9">
        <w:tc>
          <w:tcPr>
            <w:tcW w:w="1694" w:type="dxa"/>
            <w:tcBorders>
              <w:top w:val="single" w:sz="4" w:space="0" w:color="auto"/>
              <w:left w:val="single" w:sz="4" w:space="0" w:color="auto"/>
              <w:bottom w:val="single" w:sz="4" w:space="0" w:color="auto"/>
              <w:right w:val="single" w:sz="4" w:space="0" w:color="auto"/>
            </w:tcBorders>
          </w:tcPr>
          <w:p w14:paraId="507EE83D" w14:textId="77777777" w:rsidR="00BF399A" w:rsidRDefault="00BF399A" w:rsidP="00D308D9">
            <w:r>
              <w:t>Student</w:t>
            </w:r>
          </w:p>
        </w:tc>
        <w:tc>
          <w:tcPr>
            <w:tcW w:w="1839" w:type="dxa"/>
            <w:tcBorders>
              <w:top w:val="single" w:sz="4" w:space="0" w:color="auto"/>
              <w:left w:val="single" w:sz="4" w:space="0" w:color="auto"/>
              <w:bottom w:val="single" w:sz="4" w:space="0" w:color="auto"/>
              <w:right w:val="single" w:sz="4" w:space="0" w:color="auto"/>
            </w:tcBorders>
            <w:vAlign w:val="center"/>
          </w:tcPr>
          <w:p w14:paraId="2FA04F37" w14:textId="77777777" w:rsidR="00BF399A" w:rsidRDefault="00BF399A" w:rsidP="00D308D9">
            <w:pPr>
              <w:jc w:val="right"/>
            </w:pPr>
            <w:r>
              <w:t>17446</w:t>
            </w:r>
          </w:p>
        </w:tc>
        <w:tc>
          <w:tcPr>
            <w:tcW w:w="1234" w:type="dxa"/>
            <w:tcBorders>
              <w:top w:val="single" w:sz="4" w:space="0" w:color="auto"/>
              <w:left w:val="single" w:sz="4" w:space="0" w:color="auto"/>
              <w:bottom w:val="single" w:sz="4" w:space="0" w:color="auto"/>
              <w:right w:val="single" w:sz="4" w:space="0" w:color="auto"/>
            </w:tcBorders>
            <w:vAlign w:val="center"/>
          </w:tcPr>
          <w:p w14:paraId="340BCFC4" w14:textId="77777777" w:rsidR="00BF399A" w:rsidRDefault="00BF399A" w:rsidP="00D308D9">
            <w:pPr>
              <w:jc w:val="right"/>
            </w:pPr>
            <w:r>
              <w:t>17446</w:t>
            </w:r>
          </w:p>
        </w:tc>
        <w:tc>
          <w:tcPr>
            <w:tcW w:w="2599" w:type="dxa"/>
            <w:tcBorders>
              <w:top w:val="single" w:sz="4" w:space="0" w:color="auto"/>
              <w:left w:val="single" w:sz="4" w:space="0" w:color="auto"/>
              <w:bottom w:val="single" w:sz="4" w:space="0" w:color="auto"/>
              <w:right w:val="single" w:sz="4" w:space="0" w:color="auto"/>
            </w:tcBorders>
            <w:vAlign w:val="center"/>
          </w:tcPr>
          <w:p w14:paraId="442E636D"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tcPr>
          <w:p w14:paraId="42A9228A"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tcPr>
          <w:p w14:paraId="6D9EEF15" w14:textId="77777777" w:rsidR="00BF399A" w:rsidRDefault="00BF399A" w:rsidP="00D308D9">
            <w:pPr>
              <w:jc w:val="right"/>
            </w:pPr>
            <w:r>
              <w:t>(17445,17448)</w:t>
            </w:r>
          </w:p>
        </w:tc>
      </w:tr>
      <w:tr w:rsidR="00BF399A" w14:paraId="46C7D0CC" w14:textId="77777777" w:rsidTr="00D308D9">
        <w:tc>
          <w:tcPr>
            <w:tcW w:w="1694" w:type="dxa"/>
            <w:tcBorders>
              <w:top w:val="single" w:sz="4" w:space="0" w:color="auto"/>
              <w:left w:val="single" w:sz="4" w:space="0" w:color="auto"/>
              <w:bottom w:val="single" w:sz="4" w:space="0" w:color="auto"/>
              <w:right w:val="single" w:sz="4" w:space="0" w:color="auto"/>
            </w:tcBorders>
          </w:tcPr>
          <w:p w14:paraId="0C523152" w14:textId="77777777" w:rsidR="00BF399A" w:rsidRDefault="00BF399A" w:rsidP="00D308D9">
            <w:r>
              <w:t>Other</w:t>
            </w:r>
          </w:p>
        </w:tc>
        <w:tc>
          <w:tcPr>
            <w:tcW w:w="1839" w:type="dxa"/>
            <w:tcBorders>
              <w:top w:val="single" w:sz="4" w:space="0" w:color="auto"/>
              <w:left w:val="single" w:sz="4" w:space="0" w:color="auto"/>
              <w:bottom w:val="single" w:sz="4" w:space="0" w:color="auto"/>
              <w:right w:val="single" w:sz="4" w:space="0" w:color="auto"/>
            </w:tcBorders>
            <w:vAlign w:val="center"/>
          </w:tcPr>
          <w:p w14:paraId="483AE0D1" w14:textId="77777777" w:rsidR="00BF399A" w:rsidRDefault="00BF399A" w:rsidP="00D308D9">
            <w:pPr>
              <w:jc w:val="right"/>
            </w:pPr>
            <w:r>
              <w:t>287593</w:t>
            </w:r>
          </w:p>
        </w:tc>
        <w:tc>
          <w:tcPr>
            <w:tcW w:w="1234" w:type="dxa"/>
            <w:tcBorders>
              <w:top w:val="single" w:sz="4" w:space="0" w:color="auto"/>
              <w:left w:val="single" w:sz="4" w:space="0" w:color="auto"/>
              <w:bottom w:val="single" w:sz="4" w:space="0" w:color="auto"/>
              <w:right w:val="single" w:sz="4" w:space="0" w:color="auto"/>
            </w:tcBorders>
            <w:vAlign w:val="center"/>
          </w:tcPr>
          <w:p w14:paraId="15CF9D73" w14:textId="77777777" w:rsidR="00BF399A" w:rsidRDefault="00BF399A" w:rsidP="00D308D9">
            <w:pPr>
              <w:jc w:val="right"/>
            </w:pPr>
            <w:r>
              <w:t>287593</w:t>
            </w:r>
          </w:p>
        </w:tc>
        <w:tc>
          <w:tcPr>
            <w:tcW w:w="2599" w:type="dxa"/>
            <w:tcBorders>
              <w:top w:val="single" w:sz="4" w:space="0" w:color="auto"/>
              <w:left w:val="single" w:sz="4" w:space="0" w:color="auto"/>
              <w:bottom w:val="single" w:sz="4" w:space="0" w:color="auto"/>
              <w:right w:val="single" w:sz="4" w:space="0" w:color="auto"/>
            </w:tcBorders>
            <w:vAlign w:val="center"/>
          </w:tcPr>
          <w:p w14:paraId="58D8115A" w14:textId="77777777" w:rsidR="00BF399A" w:rsidRDefault="00BF399A" w:rsidP="00D308D9">
            <w:pPr>
              <w:jc w:val="right"/>
            </w:pPr>
            <w:r>
              <w:t>0</w:t>
            </w:r>
          </w:p>
        </w:tc>
        <w:tc>
          <w:tcPr>
            <w:tcW w:w="993" w:type="dxa"/>
            <w:tcBorders>
              <w:top w:val="single" w:sz="4" w:space="0" w:color="auto"/>
              <w:left w:val="single" w:sz="4" w:space="0" w:color="auto"/>
              <w:bottom w:val="single" w:sz="4" w:space="0" w:color="auto"/>
              <w:right w:val="single" w:sz="4" w:space="0" w:color="auto"/>
            </w:tcBorders>
            <w:vAlign w:val="center"/>
          </w:tcPr>
          <w:p w14:paraId="741E9BF5" w14:textId="77777777" w:rsidR="00BF399A" w:rsidRDefault="00BF399A" w:rsidP="00D308D9">
            <w:pPr>
              <w:jc w:val="right"/>
            </w:pPr>
            <w:r>
              <w:t>0</w:t>
            </w:r>
          </w:p>
        </w:tc>
        <w:tc>
          <w:tcPr>
            <w:tcW w:w="1842" w:type="dxa"/>
            <w:tcBorders>
              <w:top w:val="single" w:sz="4" w:space="0" w:color="auto"/>
              <w:left w:val="single" w:sz="4" w:space="0" w:color="auto"/>
              <w:bottom w:val="single" w:sz="4" w:space="0" w:color="auto"/>
              <w:right w:val="single" w:sz="4" w:space="0" w:color="auto"/>
            </w:tcBorders>
            <w:vAlign w:val="center"/>
          </w:tcPr>
          <w:p w14:paraId="55520648" w14:textId="77777777" w:rsidR="00BF399A" w:rsidRDefault="00BF399A" w:rsidP="00D308D9">
            <w:pPr>
              <w:jc w:val="right"/>
            </w:pPr>
            <w:r>
              <w:t>(287592,287595)</w:t>
            </w:r>
          </w:p>
        </w:tc>
      </w:tr>
    </w:tbl>
    <w:p w14:paraId="7AA1F760" w14:textId="77777777" w:rsidR="00BF399A" w:rsidRDefault="00BF399A" w:rsidP="00BF399A">
      <w:pPr>
        <w:spacing w:before="120" w:line="240" w:lineRule="auto"/>
        <w:jc w:val="both"/>
        <w:rPr>
          <w:sz w:val="24"/>
          <w:szCs w:val="24"/>
        </w:rPr>
      </w:pPr>
      <w:r>
        <w:rPr>
          <w:sz w:val="24"/>
          <w:szCs w:val="24"/>
        </w:rPr>
        <w:lastRenderedPageBreak/>
        <w:t>Note: The results for the age-sex by local authority variable are not shown for this estimation area as the variable contains 245 categories, which would lead to overly large tables. The bias and variance were low across all categories.</w:t>
      </w:r>
    </w:p>
    <w:p w14:paraId="329C12D7" w14:textId="77777777" w:rsidR="00BF399A" w:rsidRDefault="00BF399A" w:rsidP="00BF399A">
      <w:pPr>
        <w:spacing w:line="240" w:lineRule="auto"/>
        <w:rPr>
          <w:sz w:val="24"/>
          <w:szCs w:val="24"/>
        </w:rPr>
      </w:pPr>
      <w:r>
        <w:rPr>
          <w:sz w:val="24"/>
          <w:szCs w:val="24"/>
        </w:rPr>
        <w:t xml:space="preserve">Tables 2 shows the results for the benchmark variables when the household size variable is treated as a five-level benchmark. Overall the best results are obtained when household size is treated as a five-level benchmark since it yielded the lowest bias and variance for the large households and allows control for the larger household size categories. Although it yielded some bias being introduced in the one-person households, it was not substantial. The estimates for the other benchmark variables are unbiased with low variance regardless of the way in which household size is categorised. </w:t>
      </w:r>
    </w:p>
    <w:p w14:paraId="288B8A6A" w14:textId="77777777" w:rsidR="00BF399A" w:rsidRDefault="00BF399A" w:rsidP="00BF399A">
      <w:pPr>
        <w:spacing w:line="240" w:lineRule="auto"/>
        <w:rPr>
          <w:b/>
          <w:sz w:val="24"/>
          <w:szCs w:val="24"/>
        </w:rPr>
      </w:pPr>
      <w:r>
        <w:rPr>
          <w:sz w:val="24"/>
          <w:szCs w:val="24"/>
        </w:rPr>
        <w:t xml:space="preserve">The analysis demonstrated that overall the CO methods perform better than the 2011 when benchmarking to more detailed categories although there may be some trade-off between variables in order to achieve optimal quality estimates for key outputs. The best solution is likely to be specific to each variable. </w:t>
      </w:r>
    </w:p>
    <w:p w14:paraId="0C49C2DA" w14:textId="77777777" w:rsidR="00BF399A" w:rsidRDefault="00BF399A" w:rsidP="00BF399A">
      <w:pPr>
        <w:spacing w:line="240" w:lineRule="auto"/>
        <w:rPr>
          <w:b/>
          <w:sz w:val="24"/>
          <w:szCs w:val="24"/>
        </w:rPr>
      </w:pPr>
      <w:r>
        <w:rPr>
          <w:b/>
          <w:sz w:val="24"/>
          <w:szCs w:val="24"/>
        </w:rPr>
        <w:t>Table 3: Estimates of bias, relative bias and variance for all household sizes when household size is treated as a three-level benchmark in the CO process, CO results for estimation area EM05NSDE in the East Midlands, estimation area level donor pool used.</w:t>
      </w:r>
    </w:p>
    <w:tbl>
      <w:tblPr>
        <w:tblStyle w:val="TableGrid"/>
        <w:tblW w:w="10296" w:type="dxa"/>
        <w:tblInd w:w="0" w:type="dxa"/>
        <w:tblLook w:val="04A0" w:firstRow="1" w:lastRow="0" w:firstColumn="1" w:lastColumn="0" w:noHBand="0" w:noVBand="1"/>
      </w:tblPr>
      <w:tblGrid>
        <w:gridCol w:w="1791"/>
        <w:gridCol w:w="1916"/>
        <w:gridCol w:w="1274"/>
        <w:gridCol w:w="2636"/>
        <w:gridCol w:w="934"/>
        <w:gridCol w:w="1745"/>
      </w:tblGrid>
      <w:tr w:rsidR="00BF399A" w14:paraId="79A3FB13" w14:textId="77777777" w:rsidTr="00D308D9">
        <w:tc>
          <w:tcPr>
            <w:tcW w:w="1791" w:type="dxa"/>
            <w:tcBorders>
              <w:top w:val="single" w:sz="4" w:space="0" w:color="auto"/>
              <w:left w:val="single" w:sz="4" w:space="0" w:color="auto"/>
              <w:bottom w:val="single" w:sz="12" w:space="0" w:color="auto"/>
              <w:right w:val="single" w:sz="4" w:space="0" w:color="auto"/>
            </w:tcBorders>
            <w:hideMark/>
          </w:tcPr>
          <w:p w14:paraId="04C4DD78" w14:textId="77777777" w:rsidR="00BF399A" w:rsidRDefault="00BF399A" w:rsidP="00D308D9">
            <w:r>
              <w:t>Variable</w:t>
            </w:r>
          </w:p>
        </w:tc>
        <w:tc>
          <w:tcPr>
            <w:tcW w:w="1916" w:type="dxa"/>
            <w:tcBorders>
              <w:top w:val="single" w:sz="4" w:space="0" w:color="auto"/>
              <w:left w:val="single" w:sz="4" w:space="0" w:color="auto"/>
              <w:bottom w:val="single" w:sz="12" w:space="0" w:color="auto"/>
              <w:right w:val="single" w:sz="4" w:space="0" w:color="auto"/>
            </w:tcBorders>
            <w:hideMark/>
          </w:tcPr>
          <w:p w14:paraId="0F7107E2" w14:textId="77777777" w:rsidR="00BF399A" w:rsidRDefault="00BF399A" w:rsidP="00D308D9">
            <w:r>
              <w:t>Average CO count over 100 runs</w:t>
            </w:r>
          </w:p>
        </w:tc>
        <w:tc>
          <w:tcPr>
            <w:tcW w:w="1274" w:type="dxa"/>
            <w:tcBorders>
              <w:top w:val="single" w:sz="4" w:space="0" w:color="auto"/>
              <w:left w:val="single" w:sz="4" w:space="0" w:color="auto"/>
              <w:bottom w:val="single" w:sz="12" w:space="0" w:color="auto"/>
              <w:right w:val="single" w:sz="4" w:space="0" w:color="auto"/>
            </w:tcBorders>
            <w:hideMark/>
          </w:tcPr>
          <w:p w14:paraId="7E4820EB" w14:textId="77777777" w:rsidR="00BF399A" w:rsidRDefault="00BF399A" w:rsidP="00D308D9">
            <w:r>
              <w:t>Benchmark value</w:t>
            </w:r>
          </w:p>
        </w:tc>
        <w:tc>
          <w:tcPr>
            <w:tcW w:w="2636" w:type="dxa"/>
            <w:tcBorders>
              <w:top w:val="single" w:sz="4" w:space="0" w:color="auto"/>
              <w:left w:val="single" w:sz="4" w:space="0" w:color="auto"/>
              <w:bottom w:val="single" w:sz="12" w:space="0" w:color="auto"/>
              <w:right w:val="single" w:sz="4" w:space="0" w:color="auto"/>
            </w:tcBorders>
            <w:hideMark/>
          </w:tcPr>
          <w:p w14:paraId="3023E3F0" w14:textId="77777777" w:rsidR="00BF399A" w:rsidRDefault="00BF399A" w:rsidP="00D308D9">
            <w:r>
              <w:t>Bias (= average of (CO count - benchmark value))</w:t>
            </w:r>
          </w:p>
        </w:tc>
        <w:tc>
          <w:tcPr>
            <w:tcW w:w="934" w:type="dxa"/>
            <w:tcBorders>
              <w:top w:val="single" w:sz="4" w:space="0" w:color="auto"/>
              <w:left w:val="single" w:sz="4" w:space="0" w:color="auto"/>
              <w:bottom w:val="single" w:sz="12" w:space="0" w:color="auto"/>
              <w:right w:val="single" w:sz="4" w:space="0" w:color="auto"/>
            </w:tcBorders>
            <w:hideMark/>
          </w:tcPr>
          <w:p w14:paraId="6BEC3EBC" w14:textId="77777777" w:rsidR="00BF399A" w:rsidRDefault="00BF399A" w:rsidP="00D308D9">
            <w:r>
              <w:t>Relative bias</w:t>
            </w:r>
          </w:p>
        </w:tc>
        <w:tc>
          <w:tcPr>
            <w:tcW w:w="1745" w:type="dxa"/>
            <w:tcBorders>
              <w:top w:val="single" w:sz="4" w:space="0" w:color="auto"/>
              <w:left w:val="single" w:sz="4" w:space="0" w:color="auto"/>
              <w:bottom w:val="single" w:sz="12" w:space="0" w:color="auto"/>
              <w:right w:val="single" w:sz="4" w:space="0" w:color="auto"/>
            </w:tcBorders>
            <w:hideMark/>
          </w:tcPr>
          <w:p w14:paraId="612F9640" w14:textId="77777777" w:rsidR="00BF399A" w:rsidRDefault="00BF399A" w:rsidP="00D308D9">
            <w:r>
              <w:t>95% CI for 100 CO counts</w:t>
            </w:r>
          </w:p>
        </w:tc>
      </w:tr>
      <w:tr w:rsidR="00BF399A" w14:paraId="0E8CC6A4" w14:textId="77777777" w:rsidTr="00D308D9">
        <w:tc>
          <w:tcPr>
            <w:tcW w:w="1791" w:type="dxa"/>
            <w:tcBorders>
              <w:top w:val="single" w:sz="12" w:space="0" w:color="auto"/>
              <w:left w:val="single" w:sz="4" w:space="0" w:color="auto"/>
              <w:bottom w:val="single" w:sz="4" w:space="0" w:color="auto"/>
              <w:right w:val="single" w:sz="4" w:space="0" w:color="auto"/>
            </w:tcBorders>
            <w:hideMark/>
          </w:tcPr>
          <w:p w14:paraId="22E40256" w14:textId="77777777" w:rsidR="00BF399A" w:rsidRDefault="00BF399A" w:rsidP="00D308D9">
            <w:pPr>
              <w:rPr>
                <w:b/>
              </w:rPr>
            </w:pPr>
            <w:r>
              <w:rPr>
                <w:b/>
              </w:rPr>
              <w:t>Household size (4 categories)</w:t>
            </w:r>
          </w:p>
        </w:tc>
        <w:tc>
          <w:tcPr>
            <w:tcW w:w="1916" w:type="dxa"/>
            <w:tcBorders>
              <w:top w:val="single" w:sz="12" w:space="0" w:color="auto"/>
              <w:left w:val="single" w:sz="4" w:space="0" w:color="auto"/>
              <w:bottom w:val="single" w:sz="4" w:space="0" w:color="auto"/>
              <w:right w:val="single" w:sz="4" w:space="0" w:color="auto"/>
            </w:tcBorders>
          </w:tcPr>
          <w:p w14:paraId="203A6F97" w14:textId="77777777" w:rsidR="00BF399A" w:rsidRDefault="00BF399A" w:rsidP="00D308D9"/>
        </w:tc>
        <w:tc>
          <w:tcPr>
            <w:tcW w:w="1274" w:type="dxa"/>
            <w:tcBorders>
              <w:top w:val="single" w:sz="12" w:space="0" w:color="auto"/>
              <w:left w:val="single" w:sz="4" w:space="0" w:color="auto"/>
              <w:bottom w:val="single" w:sz="4" w:space="0" w:color="auto"/>
              <w:right w:val="single" w:sz="4" w:space="0" w:color="auto"/>
            </w:tcBorders>
          </w:tcPr>
          <w:p w14:paraId="7CD7BF3B" w14:textId="77777777" w:rsidR="00BF399A" w:rsidRDefault="00BF399A" w:rsidP="00D308D9"/>
        </w:tc>
        <w:tc>
          <w:tcPr>
            <w:tcW w:w="2636" w:type="dxa"/>
            <w:tcBorders>
              <w:top w:val="single" w:sz="12" w:space="0" w:color="auto"/>
              <w:left w:val="single" w:sz="4" w:space="0" w:color="auto"/>
              <w:bottom w:val="single" w:sz="4" w:space="0" w:color="auto"/>
              <w:right w:val="single" w:sz="4" w:space="0" w:color="auto"/>
            </w:tcBorders>
          </w:tcPr>
          <w:p w14:paraId="7BD0304B" w14:textId="77777777" w:rsidR="00BF399A" w:rsidRDefault="00BF399A" w:rsidP="00D308D9"/>
        </w:tc>
        <w:tc>
          <w:tcPr>
            <w:tcW w:w="934" w:type="dxa"/>
            <w:tcBorders>
              <w:top w:val="single" w:sz="12" w:space="0" w:color="auto"/>
              <w:left w:val="single" w:sz="4" w:space="0" w:color="auto"/>
              <w:bottom w:val="single" w:sz="4" w:space="0" w:color="auto"/>
              <w:right w:val="single" w:sz="4" w:space="0" w:color="auto"/>
            </w:tcBorders>
          </w:tcPr>
          <w:p w14:paraId="7CD9A2CE" w14:textId="77777777" w:rsidR="00BF399A" w:rsidRDefault="00BF399A" w:rsidP="00D308D9"/>
        </w:tc>
        <w:tc>
          <w:tcPr>
            <w:tcW w:w="1745" w:type="dxa"/>
            <w:tcBorders>
              <w:top w:val="single" w:sz="12" w:space="0" w:color="auto"/>
              <w:left w:val="single" w:sz="4" w:space="0" w:color="auto"/>
              <w:bottom w:val="single" w:sz="4" w:space="0" w:color="auto"/>
              <w:right w:val="single" w:sz="4" w:space="0" w:color="auto"/>
            </w:tcBorders>
          </w:tcPr>
          <w:p w14:paraId="4447B8E3" w14:textId="77777777" w:rsidR="00BF399A" w:rsidRDefault="00BF399A" w:rsidP="00D308D9"/>
        </w:tc>
      </w:tr>
      <w:tr w:rsidR="00BF399A" w14:paraId="0816750B" w14:textId="77777777" w:rsidTr="00D308D9">
        <w:tc>
          <w:tcPr>
            <w:tcW w:w="1791" w:type="dxa"/>
            <w:tcBorders>
              <w:top w:val="single" w:sz="4" w:space="0" w:color="auto"/>
              <w:left w:val="single" w:sz="4" w:space="0" w:color="auto"/>
              <w:bottom w:val="single" w:sz="4" w:space="0" w:color="auto"/>
              <w:right w:val="single" w:sz="4" w:space="0" w:color="auto"/>
            </w:tcBorders>
            <w:hideMark/>
          </w:tcPr>
          <w:p w14:paraId="49AD43D1" w14:textId="77777777" w:rsidR="00BF399A" w:rsidRDefault="00BF399A" w:rsidP="00D308D9">
            <w:r>
              <w:t>1</w:t>
            </w:r>
          </w:p>
        </w:tc>
        <w:tc>
          <w:tcPr>
            <w:tcW w:w="1916" w:type="dxa"/>
            <w:tcBorders>
              <w:top w:val="single" w:sz="4" w:space="0" w:color="auto"/>
              <w:left w:val="single" w:sz="4" w:space="0" w:color="auto"/>
              <w:bottom w:val="single" w:sz="4" w:space="0" w:color="auto"/>
              <w:right w:val="single" w:sz="4" w:space="0" w:color="auto"/>
            </w:tcBorders>
            <w:vAlign w:val="center"/>
            <w:hideMark/>
          </w:tcPr>
          <w:p w14:paraId="170F7249" w14:textId="77777777" w:rsidR="00BF399A" w:rsidRDefault="00BF399A" w:rsidP="00D308D9">
            <w:pPr>
              <w:jc w:val="right"/>
            </w:pPr>
            <w:r>
              <w:t>81862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6A00754" w14:textId="77777777" w:rsidR="00BF399A" w:rsidRDefault="00BF399A" w:rsidP="00D308D9">
            <w:pPr>
              <w:jc w:val="right"/>
            </w:pPr>
            <w:r>
              <w:t>81862</w:t>
            </w:r>
          </w:p>
        </w:tc>
        <w:tc>
          <w:tcPr>
            <w:tcW w:w="2636" w:type="dxa"/>
            <w:tcBorders>
              <w:top w:val="single" w:sz="4" w:space="0" w:color="auto"/>
              <w:left w:val="single" w:sz="4" w:space="0" w:color="auto"/>
              <w:bottom w:val="single" w:sz="4" w:space="0" w:color="auto"/>
              <w:right w:val="single" w:sz="4" w:space="0" w:color="auto"/>
            </w:tcBorders>
            <w:vAlign w:val="center"/>
            <w:hideMark/>
          </w:tcPr>
          <w:p w14:paraId="0445ECD3" w14:textId="77777777" w:rsidR="00BF399A" w:rsidRDefault="00BF399A" w:rsidP="00D308D9">
            <w:pPr>
              <w:jc w:val="right"/>
            </w:pPr>
            <w:r>
              <w:t>0</w:t>
            </w:r>
          </w:p>
        </w:tc>
        <w:tc>
          <w:tcPr>
            <w:tcW w:w="934" w:type="dxa"/>
            <w:tcBorders>
              <w:top w:val="single" w:sz="4" w:space="0" w:color="auto"/>
              <w:left w:val="single" w:sz="4" w:space="0" w:color="auto"/>
              <w:bottom w:val="single" w:sz="4" w:space="0" w:color="auto"/>
              <w:right w:val="single" w:sz="4" w:space="0" w:color="auto"/>
            </w:tcBorders>
            <w:vAlign w:val="center"/>
            <w:hideMark/>
          </w:tcPr>
          <w:p w14:paraId="099AFCD3" w14:textId="77777777" w:rsidR="00BF399A" w:rsidRDefault="00BF399A" w:rsidP="00D308D9">
            <w:pPr>
              <w:jc w:val="right"/>
            </w:pPr>
            <w:r>
              <w:t>0</w:t>
            </w:r>
          </w:p>
        </w:tc>
        <w:tc>
          <w:tcPr>
            <w:tcW w:w="1745" w:type="dxa"/>
            <w:tcBorders>
              <w:top w:val="single" w:sz="4" w:space="0" w:color="auto"/>
              <w:left w:val="single" w:sz="4" w:space="0" w:color="auto"/>
              <w:bottom w:val="single" w:sz="4" w:space="0" w:color="auto"/>
              <w:right w:val="single" w:sz="4" w:space="0" w:color="auto"/>
            </w:tcBorders>
            <w:vAlign w:val="center"/>
            <w:hideMark/>
          </w:tcPr>
          <w:p w14:paraId="19E1D789" w14:textId="77777777" w:rsidR="00BF399A" w:rsidRDefault="00BF399A" w:rsidP="00D308D9">
            <w:pPr>
              <w:jc w:val="right"/>
            </w:pPr>
            <w:r>
              <w:t>(81681, 81683)</w:t>
            </w:r>
          </w:p>
        </w:tc>
      </w:tr>
      <w:tr w:rsidR="00BF399A" w14:paraId="210D50F9" w14:textId="77777777" w:rsidTr="00D308D9">
        <w:tc>
          <w:tcPr>
            <w:tcW w:w="1791" w:type="dxa"/>
            <w:tcBorders>
              <w:top w:val="single" w:sz="4" w:space="0" w:color="auto"/>
              <w:left w:val="single" w:sz="4" w:space="0" w:color="auto"/>
              <w:bottom w:val="single" w:sz="4" w:space="0" w:color="auto"/>
              <w:right w:val="single" w:sz="4" w:space="0" w:color="auto"/>
            </w:tcBorders>
            <w:hideMark/>
          </w:tcPr>
          <w:p w14:paraId="6094EB67" w14:textId="77777777" w:rsidR="00BF399A" w:rsidRDefault="00BF399A" w:rsidP="00D308D9">
            <w:r>
              <w:t>2</w:t>
            </w:r>
          </w:p>
        </w:tc>
        <w:tc>
          <w:tcPr>
            <w:tcW w:w="1916" w:type="dxa"/>
            <w:tcBorders>
              <w:top w:val="single" w:sz="4" w:space="0" w:color="auto"/>
              <w:left w:val="single" w:sz="4" w:space="0" w:color="auto"/>
              <w:bottom w:val="single" w:sz="4" w:space="0" w:color="auto"/>
              <w:right w:val="single" w:sz="4" w:space="0" w:color="auto"/>
            </w:tcBorders>
            <w:vAlign w:val="center"/>
            <w:hideMark/>
          </w:tcPr>
          <w:p w14:paraId="4C17C867" w14:textId="77777777" w:rsidR="00BF399A" w:rsidRDefault="00BF399A" w:rsidP="00D308D9">
            <w:pPr>
              <w:jc w:val="right"/>
            </w:pPr>
            <w:r>
              <w:t>107079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76FE62B" w14:textId="77777777" w:rsidR="00BF399A" w:rsidRDefault="00BF399A" w:rsidP="00D308D9">
            <w:pPr>
              <w:jc w:val="right"/>
            </w:pPr>
            <w:r>
              <w:t>107079</w:t>
            </w:r>
          </w:p>
        </w:tc>
        <w:tc>
          <w:tcPr>
            <w:tcW w:w="2636" w:type="dxa"/>
            <w:tcBorders>
              <w:top w:val="single" w:sz="4" w:space="0" w:color="auto"/>
              <w:left w:val="single" w:sz="4" w:space="0" w:color="auto"/>
              <w:bottom w:val="single" w:sz="4" w:space="0" w:color="auto"/>
              <w:right w:val="single" w:sz="4" w:space="0" w:color="auto"/>
            </w:tcBorders>
            <w:vAlign w:val="center"/>
            <w:hideMark/>
          </w:tcPr>
          <w:p w14:paraId="2ADDD5CA" w14:textId="77777777" w:rsidR="00BF399A" w:rsidRDefault="00BF399A" w:rsidP="00D308D9">
            <w:pPr>
              <w:jc w:val="right"/>
            </w:pPr>
            <w:r>
              <w:t>0</w:t>
            </w:r>
          </w:p>
        </w:tc>
        <w:tc>
          <w:tcPr>
            <w:tcW w:w="934" w:type="dxa"/>
            <w:tcBorders>
              <w:top w:val="single" w:sz="4" w:space="0" w:color="auto"/>
              <w:left w:val="single" w:sz="4" w:space="0" w:color="auto"/>
              <w:bottom w:val="single" w:sz="4" w:space="0" w:color="auto"/>
              <w:right w:val="single" w:sz="4" w:space="0" w:color="auto"/>
            </w:tcBorders>
            <w:vAlign w:val="center"/>
            <w:hideMark/>
          </w:tcPr>
          <w:p w14:paraId="1B5F7BE1" w14:textId="77777777" w:rsidR="00BF399A" w:rsidRDefault="00BF399A" w:rsidP="00D308D9">
            <w:pPr>
              <w:jc w:val="right"/>
            </w:pPr>
            <w:r>
              <w:t>0</w:t>
            </w:r>
          </w:p>
        </w:tc>
        <w:tc>
          <w:tcPr>
            <w:tcW w:w="1745" w:type="dxa"/>
            <w:tcBorders>
              <w:top w:val="single" w:sz="4" w:space="0" w:color="auto"/>
              <w:left w:val="single" w:sz="4" w:space="0" w:color="auto"/>
              <w:bottom w:val="single" w:sz="4" w:space="0" w:color="auto"/>
              <w:right w:val="single" w:sz="4" w:space="0" w:color="auto"/>
            </w:tcBorders>
            <w:vAlign w:val="center"/>
            <w:hideMark/>
          </w:tcPr>
          <w:p w14:paraId="392023E1" w14:textId="77777777" w:rsidR="00BF399A" w:rsidRDefault="00BF399A" w:rsidP="00D308D9">
            <w:pPr>
              <w:jc w:val="right"/>
            </w:pPr>
            <w:r>
              <w:t>(107078,107080)</w:t>
            </w:r>
          </w:p>
        </w:tc>
      </w:tr>
      <w:tr w:rsidR="00BF399A" w14:paraId="7E4874EE" w14:textId="77777777" w:rsidTr="00D308D9">
        <w:tc>
          <w:tcPr>
            <w:tcW w:w="1791" w:type="dxa"/>
            <w:tcBorders>
              <w:top w:val="single" w:sz="4" w:space="0" w:color="auto"/>
              <w:left w:val="single" w:sz="4" w:space="0" w:color="auto"/>
              <w:bottom w:val="single" w:sz="4" w:space="0" w:color="auto"/>
              <w:right w:val="single" w:sz="4" w:space="0" w:color="auto"/>
            </w:tcBorders>
            <w:hideMark/>
          </w:tcPr>
          <w:p w14:paraId="16E818F5" w14:textId="77777777" w:rsidR="00BF399A" w:rsidRDefault="00BF399A" w:rsidP="00D308D9">
            <w:r>
              <w:t>3</w:t>
            </w:r>
          </w:p>
        </w:tc>
        <w:tc>
          <w:tcPr>
            <w:tcW w:w="1916" w:type="dxa"/>
            <w:tcBorders>
              <w:top w:val="single" w:sz="4" w:space="0" w:color="auto"/>
              <w:left w:val="single" w:sz="4" w:space="0" w:color="auto"/>
              <w:bottom w:val="single" w:sz="4" w:space="0" w:color="auto"/>
              <w:right w:val="single" w:sz="4" w:space="0" w:color="auto"/>
            </w:tcBorders>
            <w:vAlign w:val="center"/>
            <w:hideMark/>
          </w:tcPr>
          <w:p w14:paraId="611220D4" w14:textId="77777777" w:rsidR="00BF399A" w:rsidRDefault="00BF399A" w:rsidP="00D308D9">
            <w:pPr>
              <w:jc w:val="right"/>
            </w:pPr>
            <w:r>
              <w:t>45427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F825D34" w14:textId="77777777" w:rsidR="00BF399A" w:rsidRDefault="00BF399A" w:rsidP="00D308D9">
            <w:pPr>
              <w:jc w:val="right"/>
            </w:pPr>
            <w:r>
              <w:t>44841</w:t>
            </w:r>
          </w:p>
        </w:tc>
        <w:tc>
          <w:tcPr>
            <w:tcW w:w="2636" w:type="dxa"/>
            <w:tcBorders>
              <w:top w:val="single" w:sz="4" w:space="0" w:color="auto"/>
              <w:left w:val="single" w:sz="4" w:space="0" w:color="auto"/>
              <w:bottom w:val="single" w:sz="4" w:space="0" w:color="auto"/>
              <w:right w:val="single" w:sz="4" w:space="0" w:color="auto"/>
            </w:tcBorders>
            <w:vAlign w:val="center"/>
            <w:hideMark/>
          </w:tcPr>
          <w:p w14:paraId="173E54DB" w14:textId="77777777" w:rsidR="00BF399A" w:rsidRDefault="00BF399A" w:rsidP="00D308D9">
            <w:pPr>
              <w:jc w:val="right"/>
            </w:pPr>
            <w:r>
              <w:t>586</w:t>
            </w:r>
          </w:p>
        </w:tc>
        <w:tc>
          <w:tcPr>
            <w:tcW w:w="934" w:type="dxa"/>
            <w:tcBorders>
              <w:top w:val="single" w:sz="4" w:space="0" w:color="auto"/>
              <w:left w:val="single" w:sz="4" w:space="0" w:color="auto"/>
              <w:bottom w:val="single" w:sz="4" w:space="0" w:color="auto"/>
              <w:right w:val="single" w:sz="4" w:space="0" w:color="auto"/>
            </w:tcBorders>
            <w:vAlign w:val="center"/>
            <w:hideMark/>
          </w:tcPr>
          <w:p w14:paraId="4D4A1B8B" w14:textId="77777777" w:rsidR="00BF399A" w:rsidRDefault="00BF399A" w:rsidP="00D308D9">
            <w:pPr>
              <w:jc w:val="right"/>
            </w:pPr>
            <w:r>
              <w:t>0.0131</w:t>
            </w:r>
          </w:p>
        </w:tc>
        <w:tc>
          <w:tcPr>
            <w:tcW w:w="1745" w:type="dxa"/>
            <w:tcBorders>
              <w:top w:val="single" w:sz="4" w:space="0" w:color="auto"/>
              <w:left w:val="single" w:sz="4" w:space="0" w:color="auto"/>
              <w:bottom w:val="single" w:sz="4" w:space="0" w:color="auto"/>
              <w:right w:val="single" w:sz="4" w:space="0" w:color="auto"/>
            </w:tcBorders>
            <w:vAlign w:val="center"/>
            <w:hideMark/>
          </w:tcPr>
          <w:p w14:paraId="2F0F7000" w14:textId="77777777" w:rsidR="00BF399A" w:rsidRDefault="00BF399A" w:rsidP="00D308D9">
            <w:pPr>
              <w:jc w:val="right"/>
            </w:pPr>
            <w:r>
              <w:t>(45368,45479)</w:t>
            </w:r>
          </w:p>
        </w:tc>
      </w:tr>
      <w:tr w:rsidR="00BF399A" w14:paraId="6D3DA27A" w14:textId="77777777" w:rsidTr="00D308D9">
        <w:tc>
          <w:tcPr>
            <w:tcW w:w="1791" w:type="dxa"/>
            <w:tcBorders>
              <w:top w:val="single" w:sz="4" w:space="0" w:color="auto"/>
              <w:left w:val="single" w:sz="4" w:space="0" w:color="auto"/>
              <w:bottom w:val="single" w:sz="4" w:space="0" w:color="auto"/>
              <w:right w:val="single" w:sz="4" w:space="0" w:color="auto"/>
            </w:tcBorders>
            <w:hideMark/>
          </w:tcPr>
          <w:p w14:paraId="3CBAD2DC" w14:textId="77777777" w:rsidR="00BF399A" w:rsidRDefault="00BF399A" w:rsidP="00D308D9">
            <w:r>
              <w:t>4+</w:t>
            </w:r>
          </w:p>
        </w:tc>
        <w:tc>
          <w:tcPr>
            <w:tcW w:w="1916" w:type="dxa"/>
            <w:tcBorders>
              <w:top w:val="single" w:sz="4" w:space="0" w:color="auto"/>
              <w:left w:val="single" w:sz="4" w:space="0" w:color="auto"/>
              <w:bottom w:val="single" w:sz="4" w:space="0" w:color="auto"/>
              <w:right w:val="single" w:sz="4" w:space="0" w:color="auto"/>
            </w:tcBorders>
            <w:vAlign w:val="center"/>
            <w:hideMark/>
          </w:tcPr>
          <w:p w14:paraId="66381A43" w14:textId="77777777" w:rsidR="00BF399A" w:rsidRDefault="00BF399A" w:rsidP="00D308D9">
            <w:pPr>
              <w:jc w:val="right"/>
            </w:pPr>
            <w:r>
              <w:t>49774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1545C1A" w14:textId="77777777" w:rsidR="00BF399A" w:rsidRDefault="00BF399A" w:rsidP="00D308D9">
            <w:pPr>
              <w:jc w:val="right"/>
            </w:pPr>
            <w:r>
              <w:t>50360</w:t>
            </w:r>
          </w:p>
        </w:tc>
        <w:tc>
          <w:tcPr>
            <w:tcW w:w="2636" w:type="dxa"/>
            <w:tcBorders>
              <w:top w:val="single" w:sz="4" w:space="0" w:color="auto"/>
              <w:left w:val="single" w:sz="4" w:space="0" w:color="auto"/>
              <w:bottom w:val="single" w:sz="4" w:space="0" w:color="auto"/>
              <w:right w:val="single" w:sz="4" w:space="0" w:color="auto"/>
            </w:tcBorders>
            <w:vAlign w:val="center"/>
            <w:hideMark/>
          </w:tcPr>
          <w:p w14:paraId="6C5E0A2A" w14:textId="77777777" w:rsidR="00BF399A" w:rsidRDefault="00BF399A" w:rsidP="00D308D9">
            <w:pPr>
              <w:jc w:val="right"/>
            </w:pPr>
            <w:r>
              <w:t>-586</w:t>
            </w:r>
          </w:p>
        </w:tc>
        <w:tc>
          <w:tcPr>
            <w:tcW w:w="934" w:type="dxa"/>
            <w:tcBorders>
              <w:top w:val="single" w:sz="4" w:space="0" w:color="auto"/>
              <w:left w:val="single" w:sz="4" w:space="0" w:color="auto"/>
              <w:bottom w:val="single" w:sz="4" w:space="0" w:color="auto"/>
              <w:right w:val="single" w:sz="4" w:space="0" w:color="auto"/>
            </w:tcBorders>
            <w:vAlign w:val="center"/>
            <w:hideMark/>
          </w:tcPr>
          <w:p w14:paraId="6EB8DA5A" w14:textId="77777777" w:rsidR="00BF399A" w:rsidRDefault="00BF399A" w:rsidP="00D308D9">
            <w:pPr>
              <w:jc w:val="right"/>
            </w:pPr>
            <w:r>
              <w:t>-0.0116</w:t>
            </w:r>
          </w:p>
        </w:tc>
        <w:tc>
          <w:tcPr>
            <w:tcW w:w="1745" w:type="dxa"/>
            <w:tcBorders>
              <w:top w:val="single" w:sz="4" w:space="0" w:color="auto"/>
              <w:left w:val="single" w:sz="4" w:space="0" w:color="auto"/>
              <w:bottom w:val="single" w:sz="4" w:space="0" w:color="auto"/>
              <w:right w:val="single" w:sz="4" w:space="0" w:color="auto"/>
            </w:tcBorders>
            <w:vAlign w:val="center"/>
            <w:hideMark/>
          </w:tcPr>
          <w:p w14:paraId="449D9A84" w14:textId="77777777" w:rsidR="00BF399A" w:rsidRDefault="00BF399A" w:rsidP="00D308D9">
            <w:pPr>
              <w:jc w:val="right"/>
            </w:pPr>
            <w:r>
              <w:t>(49722,49833)</w:t>
            </w:r>
          </w:p>
        </w:tc>
      </w:tr>
      <w:tr w:rsidR="00BF399A" w14:paraId="251667D3" w14:textId="77777777" w:rsidTr="00D308D9">
        <w:tc>
          <w:tcPr>
            <w:tcW w:w="1791" w:type="dxa"/>
            <w:tcBorders>
              <w:top w:val="single" w:sz="4" w:space="0" w:color="auto"/>
              <w:left w:val="single" w:sz="4" w:space="0" w:color="auto"/>
              <w:bottom w:val="single" w:sz="4" w:space="0" w:color="auto"/>
              <w:right w:val="single" w:sz="4" w:space="0" w:color="auto"/>
            </w:tcBorders>
            <w:hideMark/>
          </w:tcPr>
          <w:p w14:paraId="708F0B11" w14:textId="77777777" w:rsidR="00BF399A" w:rsidRDefault="00BF399A" w:rsidP="00D308D9">
            <w:pPr>
              <w:rPr>
                <w:b/>
              </w:rPr>
            </w:pPr>
            <w:r>
              <w:rPr>
                <w:b/>
              </w:rPr>
              <w:t>Household size (5 categories)</w:t>
            </w:r>
          </w:p>
        </w:tc>
        <w:tc>
          <w:tcPr>
            <w:tcW w:w="1916" w:type="dxa"/>
            <w:tcBorders>
              <w:top w:val="single" w:sz="4" w:space="0" w:color="auto"/>
              <w:left w:val="single" w:sz="4" w:space="0" w:color="auto"/>
              <w:bottom w:val="single" w:sz="4" w:space="0" w:color="auto"/>
              <w:right w:val="single" w:sz="4" w:space="0" w:color="auto"/>
            </w:tcBorders>
            <w:vAlign w:val="center"/>
          </w:tcPr>
          <w:p w14:paraId="3AA888FB" w14:textId="77777777" w:rsidR="00BF399A" w:rsidRDefault="00BF399A" w:rsidP="00D308D9">
            <w:pPr>
              <w:jc w:val="right"/>
            </w:pPr>
          </w:p>
        </w:tc>
        <w:tc>
          <w:tcPr>
            <w:tcW w:w="1274" w:type="dxa"/>
            <w:tcBorders>
              <w:top w:val="single" w:sz="4" w:space="0" w:color="auto"/>
              <w:left w:val="single" w:sz="4" w:space="0" w:color="auto"/>
              <w:bottom w:val="single" w:sz="4" w:space="0" w:color="auto"/>
              <w:right w:val="single" w:sz="4" w:space="0" w:color="auto"/>
            </w:tcBorders>
            <w:vAlign w:val="center"/>
          </w:tcPr>
          <w:p w14:paraId="6E9BDE1F" w14:textId="77777777" w:rsidR="00BF399A" w:rsidRDefault="00BF399A" w:rsidP="00D308D9">
            <w:pPr>
              <w:jc w:val="right"/>
            </w:pPr>
          </w:p>
        </w:tc>
        <w:tc>
          <w:tcPr>
            <w:tcW w:w="2636" w:type="dxa"/>
            <w:tcBorders>
              <w:top w:val="single" w:sz="4" w:space="0" w:color="auto"/>
              <w:left w:val="single" w:sz="4" w:space="0" w:color="auto"/>
              <w:bottom w:val="single" w:sz="4" w:space="0" w:color="auto"/>
              <w:right w:val="single" w:sz="4" w:space="0" w:color="auto"/>
            </w:tcBorders>
            <w:vAlign w:val="center"/>
          </w:tcPr>
          <w:p w14:paraId="6CA53C67" w14:textId="77777777" w:rsidR="00BF399A" w:rsidRDefault="00BF399A" w:rsidP="00D308D9">
            <w:pPr>
              <w:jc w:val="right"/>
            </w:pPr>
          </w:p>
        </w:tc>
        <w:tc>
          <w:tcPr>
            <w:tcW w:w="934" w:type="dxa"/>
            <w:tcBorders>
              <w:top w:val="single" w:sz="4" w:space="0" w:color="auto"/>
              <w:left w:val="single" w:sz="4" w:space="0" w:color="auto"/>
              <w:bottom w:val="single" w:sz="4" w:space="0" w:color="auto"/>
              <w:right w:val="single" w:sz="4" w:space="0" w:color="auto"/>
            </w:tcBorders>
            <w:vAlign w:val="center"/>
          </w:tcPr>
          <w:p w14:paraId="1A0B200D" w14:textId="77777777" w:rsidR="00BF399A" w:rsidRDefault="00BF399A" w:rsidP="00D308D9">
            <w:pPr>
              <w:jc w:val="right"/>
            </w:pPr>
          </w:p>
        </w:tc>
        <w:tc>
          <w:tcPr>
            <w:tcW w:w="1745" w:type="dxa"/>
            <w:tcBorders>
              <w:top w:val="single" w:sz="4" w:space="0" w:color="auto"/>
              <w:left w:val="single" w:sz="4" w:space="0" w:color="auto"/>
              <w:bottom w:val="single" w:sz="4" w:space="0" w:color="auto"/>
              <w:right w:val="single" w:sz="4" w:space="0" w:color="auto"/>
            </w:tcBorders>
            <w:vAlign w:val="center"/>
          </w:tcPr>
          <w:p w14:paraId="37D9441A" w14:textId="77777777" w:rsidR="00BF399A" w:rsidRDefault="00BF399A" w:rsidP="00D308D9">
            <w:pPr>
              <w:jc w:val="right"/>
            </w:pPr>
          </w:p>
        </w:tc>
      </w:tr>
      <w:tr w:rsidR="00BF399A" w14:paraId="4B7CD029" w14:textId="77777777" w:rsidTr="00D308D9">
        <w:tc>
          <w:tcPr>
            <w:tcW w:w="1791" w:type="dxa"/>
            <w:tcBorders>
              <w:top w:val="single" w:sz="4" w:space="0" w:color="auto"/>
              <w:left w:val="single" w:sz="4" w:space="0" w:color="auto"/>
              <w:bottom w:val="single" w:sz="4" w:space="0" w:color="auto"/>
              <w:right w:val="single" w:sz="4" w:space="0" w:color="auto"/>
            </w:tcBorders>
            <w:hideMark/>
          </w:tcPr>
          <w:p w14:paraId="6799BCFA" w14:textId="77777777" w:rsidR="00BF399A" w:rsidRDefault="00BF399A" w:rsidP="00D308D9">
            <w:r>
              <w:t>1</w:t>
            </w:r>
          </w:p>
        </w:tc>
        <w:tc>
          <w:tcPr>
            <w:tcW w:w="1916" w:type="dxa"/>
            <w:tcBorders>
              <w:top w:val="single" w:sz="4" w:space="0" w:color="auto"/>
              <w:left w:val="single" w:sz="4" w:space="0" w:color="auto"/>
              <w:bottom w:val="single" w:sz="4" w:space="0" w:color="auto"/>
              <w:right w:val="single" w:sz="4" w:space="0" w:color="auto"/>
            </w:tcBorders>
            <w:vAlign w:val="center"/>
            <w:hideMark/>
          </w:tcPr>
          <w:p w14:paraId="0FF3ACEC" w14:textId="77777777" w:rsidR="00BF399A" w:rsidRDefault="00BF399A" w:rsidP="00D308D9">
            <w:pPr>
              <w:jc w:val="right"/>
            </w:pPr>
            <w:r>
              <w:t>81862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3D9501" w14:textId="77777777" w:rsidR="00BF399A" w:rsidRDefault="00BF399A" w:rsidP="00D308D9">
            <w:pPr>
              <w:jc w:val="right"/>
            </w:pPr>
            <w:r>
              <w:t>81862</w:t>
            </w:r>
          </w:p>
        </w:tc>
        <w:tc>
          <w:tcPr>
            <w:tcW w:w="2636" w:type="dxa"/>
            <w:tcBorders>
              <w:top w:val="single" w:sz="4" w:space="0" w:color="auto"/>
              <w:left w:val="single" w:sz="4" w:space="0" w:color="auto"/>
              <w:bottom w:val="single" w:sz="4" w:space="0" w:color="auto"/>
              <w:right w:val="single" w:sz="4" w:space="0" w:color="auto"/>
            </w:tcBorders>
            <w:vAlign w:val="center"/>
            <w:hideMark/>
          </w:tcPr>
          <w:p w14:paraId="5F8A14D6" w14:textId="77777777" w:rsidR="00BF399A" w:rsidRDefault="00BF399A" w:rsidP="00D308D9">
            <w:pPr>
              <w:jc w:val="right"/>
            </w:pPr>
            <w:r>
              <w:t>0</w:t>
            </w:r>
          </w:p>
        </w:tc>
        <w:tc>
          <w:tcPr>
            <w:tcW w:w="934" w:type="dxa"/>
            <w:tcBorders>
              <w:top w:val="single" w:sz="4" w:space="0" w:color="auto"/>
              <w:left w:val="single" w:sz="4" w:space="0" w:color="auto"/>
              <w:bottom w:val="single" w:sz="4" w:space="0" w:color="auto"/>
              <w:right w:val="single" w:sz="4" w:space="0" w:color="auto"/>
            </w:tcBorders>
            <w:vAlign w:val="center"/>
            <w:hideMark/>
          </w:tcPr>
          <w:p w14:paraId="4F4E4EE7" w14:textId="77777777" w:rsidR="00BF399A" w:rsidRDefault="00BF399A" w:rsidP="00D308D9">
            <w:pPr>
              <w:jc w:val="right"/>
            </w:pPr>
            <w:r>
              <w:t>0</w:t>
            </w:r>
          </w:p>
        </w:tc>
        <w:tc>
          <w:tcPr>
            <w:tcW w:w="1745" w:type="dxa"/>
            <w:tcBorders>
              <w:top w:val="single" w:sz="4" w:space="0" w:color="auto"/>
              <w:left w:val="single" w:sz="4" w:space="0" w:color="auto"/>
              <w:bottom w:val="single" w:sz="4" w:space="0" w:color="auto"/>
              <w:right w:val="single" w:sz="4" w:space="0" w:color="auto"/>
            </w:tcBorders>
            <w:vAlign w:val="center"/>
            <w:hideMark/>
          </w:tcPr>
          <w:p w14:paraId="0A35C2BF" w14:textId="77777777" w:rsidR="00BF399A" w:rsidRDefault="00BF399A" w:rsidP="00D308D9">
            <w:pPr>
              <w:jc w:val="right"/>
            </w:pPr>
            <w:r>
              <w:t>(81681, 81683)</w:t>
            </w:r>
          </w:p>
        </w:tc>
      </w:tr>
      <w:tr w:rsidR="00BF399A" w14:paraId="4896E727" w14:textId="77777777" w:rsidTr="00D308D9">
        <w:tc>
          <w:tcPr>
            <w:tcW w:w="1791" w:type="dxa"/>
            <w:tcBorders>
              <w:top w:val="single" w:sz="4" w:space="0" w:color="auto"/>
              <w:left w:val="single" w:sz="4" w:space="0" w:color="auto"/>
              <w:bottom w:val="single" w:sz="4" w:space="0" w:color="auto"/>
              <w:right w:val="single" w:sz="4" w:space="0" w:color="auto"/>
            </w:tcBorders>
            <w:hideMark/>
          </w:tcPr>
          <w:p w14:paraId="0E4A8645" w14:textId="77777777" w:rsidR="00BF399A" w:rsidRDefault="00BF399A" w:rsidP="00D308D9">
            <w:r>
              <w:t>2</w:t>
            </w:r>
          </w:p>
        </w:tc>
        <w:tc>
          <w:tcPr>
            <w:tcW w:w="1916" w:type="dxa"/>
            <w:tcBorders>
              <w:top w:val="single" w:sz="4" w:space="0" w:color="auto"/>
              <w:left w:val="single" w:sz="4" w:space="0" w:color="auto"/>
              <w:bottom w:val="single" w:sz="4" w:space="0" w:color="auto"/>
              <w:right w:val="single" w:sz="4" w:space="0" w:color="auto"/>
            </w:tcBorders>
            <w:vAlign w:val="center"/>
            <w:hideMark/>
          </w:tcPr>
          <w:p w14:paraId="5C0DC295" w14:textId="77777777" w:rsidR="00BF399A" w:rsidRDefault="00BF399A" w:rsidP="00D308D9">
            <w:pPr>
              <w:jc w:val="right"/>
            </w:pPr>
            <w:r>
              <w:t>107079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6EEACD7" w14:textId="77777777" w:rsidR="00BF399A" w:rsidRDefault="00BF399A" w:rsidP="00D308D9">
            <w:pPr>
              <w:jc w:val="right"/>
            </w:pPr>
            <w:r>
              <w:t>107079</w:t>
            </w:r>
          </w:p>
        </w:tc>
        <w:tc>
          <w:tcPr>
            <w:tcW w:w="2636" w:type="dxa"/>
            <w:tcBorders>
              <w:top w:val="single" w:sz="4" w:space="0" w:color="auto"/>
              <w:left w:val="single" w:sz="4" w:space="0" w:color="auto"/>
              <w:bottom w:val="single" w:sz="4" w:space="0" w:color="auto"/>
              <w:right w:val="single" w:sz="4" w:space="0" w:color="auto"/>
            </w:tcBorders>
            <w:vAlign w:val="center"/>
            <w:hideMark/>
          </w:tcPr>
          <w:p w14:paraId="5D697E5C" w14:textId="77777777" w:rsidR="00BF399A" w:rsidRDefault="00BF399A" w:rsidP="00D308D9">
            <w:pPr>
              <w:jc w:val="right"/>
            </w:pPr>
            <w:r>
              <w:t>0</w:t>
            </w:r>
          </w:p>
        </w:tc>
        <w:tc>
          <w:tcPr>
            <w:tcW w:w="934" w:type="dxa"/>
            <w:tcBorders>
              <w:top w:val="single" w:sz="4" w:space="0" w:color="auto"/>
              <w:left w:val="single" w:sz="4" w:space="0" w:color="auto"/>
              <w:bottom w:val="single" w:sz="4" w:space="0" w:color="auto"/>
              <w:right w:val="single" w:sz="4" w:space="0" w:color="auto"/>
            </w:tcBorders>
            <w:vAlign w:val="center"/>
            <w:hideMark/>
          </w:tcPr>
          <w:p w14:paraId="3321697D" w14:textId="77777777" w:rsidR="00BF399A" w:rsidRDefault="00BF399A" w:rsidP="00D308D9">
            <w:pPr>
              <w:jc w:val="right"/>
            </w:pPr>
            <w:r>
              <w:t>0</w:t>
            </w:r>
          </w:p>
        </w:tc>
        <w:tc>
          <w:tcPr>
            <w:tcW w:w="1745" w:type="dxa"/>
            <w:tcBorders>
              <w:top w:val="single" w:sz="4" w:space="0" w:color="auto"/>
              <w:left w:val="single" w:sz="4" w:space="0" w:color="auto"/>
              <w:bottom w:val="single" w:sz="4" w:space="0" w:color="auto"/>
              <w:right w:val="single" w:sz="4" w:space="0" w:color="auto"/>
            </w:tcBorders>
            <w:vAlign w:val="center"/>
            <w:hideMark/>
          </w:tcPr>
          <w:p w14:paraId="23D8A0A0" w14:textId="77777777" w:rsidR="00BF399A" w:rsidRDefault="00BF399A" w:rsidP="00D308D9">
            <w:pPr>
              <w:jc w:val="right"/>
            </w:pPr>
            <w:r>
              <w:t>(107078,107080)</w:t>
            </w:r>
          </w:p>
        </w:tc>
      </w:tr>
      <w:tr w:rsidR="00BF399A" w14:paraId="4DEF3805" w14:textId="77777777" w:rsidTr="00D308D9">
        <w:tc>
          <w:tcPr>
            <w:tcW w:w="1791" w:type="dxa"/>
            <w:tcBorders>
              <w:top w:val="single" w:sz="4" w:space="0" w:color="auto"/>
              <w:left w:val="single" w:sz="4" w:space="0" w:color="auto"/>
              <w:bottom w:val="single" w:sz="4" w:space="0" w:color="auto"/>
              <w:right w:val="single" w:sz="4" w:space="0" w:color="auto"/>
            </w:tcBorders>
            <w:hideMark/>
          </w:tcPr>
          <w:p w14:paraId="602E9284" w14:textId="77777777" w:rsidR="00BF399A" w:rsidRDefault="00BF399A" w:rsidP="00D308D9">
            <w:r>
              <w:t>3</w:t>
            </w:r>
          </w:p>
        </w:tc>
        <w:tc>
          <w:tcPr>
            <w:tcW w:w="1916" w:type="dxa"/>
            <w:tcBorders>
              <w:top w:val="single" w:sz="4" w:space="0" w:color="auto"/>
              <w:left w:val="single" w:sz="4" w:space="0" w:color="auto"/>
              <w:bottom w:val="single" w:sz="4" w:space="0" w:color="auto"/>
              <w:right w:val="single" w:sz="4" w:space="0" w:color="auto"/>
            </w:tcBorders>
            <w:vAlign w:val="center"/>
            <w:hideMark/>
          </w:tcPr>
          <w:p w14:paraId="75B7B980" w14:textId="77777777" w:rsidR="00BF399A" w:rsidRDefault="00BF399A" w:rsidP="00D308D9">
            <w:pPr>
              <w:jc w:val="right"/>
            </w:pPr>
            <w:r>
              <w:t>45427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45464C1" w14:textId="77777777" w:rsidR="00BF399A" w:rsidRDefault="00BF399A" w:rsidP="00D308D9">
            <w:pPr>
              <w:jc w:val="right"/>
            </w:pPr>
            <w:r>
              <w:t>44841</w:t>
            </w:r>
          </w:p>
        </w:tc>
        <w:tc>
          <w:tcPr>
            <w:tcW w:w="2636" w:type="dxa"/>
            <w:tcBorders>
              <w:top w:val="single" w:sz="4" w:space="0" w:color="auto"/>
              <w:left w:val="single" w:sz="4" w:space="0" w:color="auto"/>
              <w:bottom w:val="single" w:sz="4" w:space="0" w:color="auto"/>
              <w:right w:val="single" w:sz="4" w:space="0" w:color="auto"/>
            </w:tcBorders>
            <w:vAlign w:val="center"/>
            <w:hideMark/>
          </w:tcPr>
          <w:p w14:paraId="54AA0053" w14:textId="77777777" w:rsidR="00BF399A" w:rsidRDefault="00BF399A" w:rsidP="00D308D9">
            <w:pPr>
              <w:jc w:val="right"/>
            </w:pPr>
            <w:r>
              <w:t>586</w:t>
            </w:r>
          </w:p>
        </w:tc>
        <w:tc>
          <w:tcPr>
            <w:tcW w:w="934" w:type="dxa"/>
            <w:tcBorders>
              <w:top w:val="single" w:sz="4" w:space="0" w:color="auto"/>
              <w:left w:val="single" w:sz="4" w:space="0" w:color="auto"/>
              <w:bottom w:val="single" w:sz="4" w:space="0" w:color="auto"/>
              <w:right w:val="single" w:sz="4" w:space="0" w:color="auto"/>
            </w:tcBorders>
            <w:vAlign w:val="center"/>
            <w:hideMark/>
          </w:tcPr>
          <w:p w14:paraId="18DB638B" w14:textId="77777777" w:rsidR="00BF399A" w:rsidRDefault="00BF399A" w:rsidP="00D308D9">
            <w:pPr>
              <w:jc w:val="right"/>
            </w:pPr>
            <w:r>
              <w:t>0.0131</w:t>
            </w:r>
          </w:p>
        </w:tc>
        <w:tc>
          <w:tcPr>
            <w:tcW w:w="1745" w:type="dxa"/>
            <w:tcBorders>
              <w:top w:val="single" w:sz="4" w:space="0" w:color="auto"/>
              <w:left w:val="single" w:sz="4" w:space="0" w:color="auto"/>
              <w:bottom w:val="single" w:sz="4" w:space="0" w:color="auto"/>
              <w:right w:val="single" w:sz="4" w:space="0" w:color="auto"/>
            </w:tcBorders>
            <w:vAlign w:val="center"/>
            <w:hideMark/>
          </w:tcPr>
          <w:p w14:paraId="33869AD9" w14:textId="77777777" w:rsidR="00BF399A" w:rsidRDefault="00BF399A" w:rsidP="00D308D9">
            <w:pPr>
              <w:jc w:val="right"/>
            </w:pPr>
            <w:r>
              <w:t>(45368,45479)</w:t>
            </w:r>
          </w:p>
        </w:tc>
      </w:tr>
      <w:tr w:rsidR="00BF399A" w14:paraId="0351A3D1" w14:textId="77777777" w:rsidTr="00D308D9">
        <w:tc>
          <w:tcPr>
            <w:tcW w:w="1791" w:type="dxa"/>
            <w:tcBorders>
              <w:top w:val="single" w:sz="4" w:space="0" w:color="auto"/>
              <w:left w:val="single" w:sz="4" w:space="0" w:color="auto"/>
              <w:bottom w:val="single" w:sz="4" w:space="0" w:color="auto"/>
              <w:right w:val="single" w:sz="4" w:space="0" w:color="auto"/>
            </w:tcBorders>
            <w:hideMark/>
          </w:tcPr>
          <w:p w14:paraId="6D44F2B4" w14:textId="77777777" w:rsidR="00BF399A" w:rsidRDefault="00BF399A" w:rsidP="00D308D9">
            <w:r>
              <w:t>4</w:t>
            </w:r>
          </w:p>
        </w:tc>
        <w:tc>
          <w:tcPr>
            <w:tcW w:w="1916" w:type="dxa"/>
            <w:tcBorders>
              <w:top w:val="single" w:sz="4" w:space="0" w:color="auto"/>
              <w:left w:val="single" w:sz="4" w:space="0" w:color="auto"/>
              <w:bottom w:val="single" w:sz="4" w:space="0" w:color="auto"/>
              <w:right w:val="single" w:sz="4" w:space="0" w:color="auto"/>
            </w:tcBorders>
            <w:vAlign w:val="center"/>
            <w:hideMark/>
          </w:tcPr>
          <w:p w14:paraId="091FC9E5" w14:textId="77777777" w:rsidR="00BF399A" w:rsidRDefault="00BF399A" w:rsidP="00D308D9">
            <w:pPr>
              <w:jc w:val="right"/>
            </w:pPr>
            <w:r>
              <w:t>35704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3911C40" w14:textId="77777777" w:rsidR="00BF399A" w:rsidRDefault="00BF399A" w:rsidP="00D308D9">
            <w:pPr>
              <w:jc w:val="right"/>
            </w:pPr>
            <w:r>
              <w:t>36182</w:t>
            </w:r>
          </w:p>
        </w:tc>
        <w:tc>
          <w:tcPr>
            <w:tcW w:w="2636" w:type="dxa"/>
            <w:tcBorders>
              <w:top w:val="single" w:sz="4" w:space="0" w:color="auto"/>
              <w:left w:val="single" w:sz="4" w:space="0" w:color="auto"/>
              <w:bottom w:val="single" w:sz="4" w:space="0" w:color="auto"/>
              <w:right w:val="single" w:sz="4" w:space="0" w:color="auto"/>
            </w:tcBorders>
            <w:vAlign w:val="center"/>
            <w:hideMark/>
          </w:tcPr>
          <w:p w14:paraId="10F596B9" w14:textId="77777777" w:rsidR="00BF399A" w:rsidRDefault="00BF399A" w:rsidP="00D308D9">
            <w:pPr>
              <w:jc w:val="right"/>
            </w:pPr>
            <w:r>
              <w:t>-478</w:t>
            </w:r>
          </w:p>
        </w:tc>
        <w:tc>
          <w:tcPr>
            <w:tcW w:w="934" w:type="dxa"/>
            <w:tcBorders>
              <w:top w:val="single" w:sz="4" w:space="0" w:color="auto"/>
              <w:left w:val="single" w:sz="4" w:space="0" w:color="auto"/>
              <w:bottom w:val="single" w:sz="4" w:space="0" w:color="auto"/>
              <w:right w:val="single" w:sz="4" w:space="0" w:color="auto"/>
            </w:tcBorders>
            <w:vAlign w:val="center"/>
            <w:hideMark/>
          </w:tcPr>
          <w:p w14:paraId="38A3F805" w14:textId="77777777" w:rsidR="00BF399A" w:rsidRDefault="00BF399A" w:rsidP="00D308D9">
            <w:pPr>
              <w:jc w:val="right"/>
            </w:pPr>
            <w:r>
              <w:t>-0.0132</w:t>
            </w:r>
          </w:p>
        </w:tc>
        <w:tc>
          <w:tcPr>
            <w:tcW w:w="1745" w:type="dxa"/>
            <w:tcBorders>
              <w:top w:val="single" w:sz="4" w:space="0" w:color="auto"/>
              <w:left w:val="single" w:sz="4" w:space="0" w:color="auto"/>
              <w:bottom w:val="single" w:sz="4" w:space="0" w:color="auto"/>
              <w:right w:val="single" w:sz="4" w:space="0" w:color="auto"/>
            </w:tcBorders>
            <w:vAlign w:val="center"/>
            <w:hideMark/>
          </w:tcPr>
          <w:p w14:paraId="056EB63B" w14:textId="77777777" w:rsidR="00BF399A" w:rsidRDefault="00BF399A" w:rsidP="00D308D9">
            <w:pPr>
              <w:jc w:val="right"/>
            </w:pPr>
            <w:r>
              <w:t>(35624,35783)</w:t>
            </w:r>
          </w:p>
        </w:tc>
      </w:tr>
      <w:tr w:rsidR="00BF399A" w14:paraId="47B2AD5B" w14:textId="77777777" w:rsidTr="00D308D9">
        <w:tc>
          <w:tcPr>
            <w:tcW w:w="1791" w:type="dxa"/>
            <w:tcBorders>
              <w:top w:val="single" w:sz="4" w:space="0" w:color="auto"/>
              <w:left w:val="single" w:sz="4" w:space="0" w:color="auto"/>
              <w:bottom w:val="single" w:sz="4" w:space="0" w:color="auto"/>
              <w:right w:val="single" w:sz="4" w:space="0" w:color="auto"/>
            </w:tcBorders>
            <w:hideMark/>
          </w:tcPr>
          <w:p w14:paraId="6E064D1C" w14:textId="77777777" w:rsidR="00BF399A" w:rsidRDefault="00BF399A" w:rsidP="00D308D9">
            <w:r>
              <w:t>5+</w:t>
            </w:r>
          </w:p>
        </w:tc>
        <w:tc>
          <w:tcPr>
            <w:tcW w:w="1916" w:type="dxa"/>
            <w:tcBorders>
              <w:top w:val="single" w:sz="4" w:space="0" w:color="auto"/>
              <w:left w:val="single" w:sz="4" w:space="0" w:color="auto"/>
              <w:bottom w:val="single" w:sz="4" w:space="0" w:color="auto"/>
              <w:right w:val="single" w:sz="4" w:space="0" w:color="auto"/>
            </w:tcBorders>
            <w:vAlign w:val="center"/>
            <w:hideMark/>
          </w:tcPr>
          <w:p w14:paraId="02C91042" w14:textId="77777777" w:rsidR="00BF399A" w:rsidRDefault="00BF399A" w:rsidP="00D308D9">
            <w:pPr>
              <w:jc w:val="right"/>
            </w:pPr>
            <w:r>
              <w:t>14070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681595D" w14:textId="77777777" w:rsidR="00BF399A" w:rsidRDefault="00BF399A" w:rsidP="00D308D9">
            <w:pPr>
              <w:jc w:val="right"/>
            </w:pPr>
            <w:r>
              <w:t>14178</w:t>
            </w:r>
          </w:p>
        </w:tc>
        <w:tc>
          <w:tcPr>
            <w:tcW w:w="2636" w:type="dxa"/>
            <w:tcBorders>
              <w:top w:val="single" w:sz="4" w:space="0" w:color="auto"/>
              <w:left w:val="single" w:sz="4" w:space="0" w:color="auto"/>
              <w:bottom w:val="single" w:sz="4" w:space="0" w:color="auto"/>
              <w:right w:val="single" w:sz="4" w:space="0" w:color="auto"/>
            </w:tcBorders>
            <w:vAlign w:val="center"/>
            <w:hideMark/>
          </w:tcPr>
          <w:p w14:paraId="5B4E3720" w14:textId="77777777" w:rsidR="00BF399A" w:rsidRDefault="00BF399A" w:rsidP="00D308D9">
            <w:pPr>
              <w:jc w:val="right"/>
            </w:pPr>
            <w:r>
              <w:t>-108</w:t>
            </w:r>
          </w:p>
        </w:tc>
        <w:tc>
          <w:tcPr>
            <w:tcW w:w="934" w:type="dxa"/>
            <w:tcBorders>
              <w:top w:val="single" w:sz="4" w:space="0" w:color="auto"/>
              <w:left w:val="single" w:sz="4" w:space="0" w:color="auto"/>
              <w:bottom w:val="single" w:sz="4" w:space="0" w:color="auto"/>
              <w:right w:val="single" w:sz="4" w:space="0" w:color="auto"/>
            </w:tcBorders>
            <w:vAlign w:val="center"/>
            <w:hideMark/>
          </w:tcPr>
          <w:p w14:paraId="62A5BE95" w14:textId="77777777" w:rsidR="00BF399A" w:rsidRDefault="00BF399A" w:rsidP="00D308D9">
            <w:pPr>
              <w:jc w:val="right"/>
            </w:pPr>
            <w:r>
              <w:t>-0.0076</w:t>
            </w:r>
          </w:p>
        </w:tc>
        <w:tc>
          <w:tcPr>
            <w:tcW w:w="1745" w:type="dxa"/>
            <w:tcBorders>
              <w:top w:val="single" w:sz="4" w:space="0" w:color="auto"/>
              <w:left w:val="single" w:sz="4" w:space="0" w:color="auto"/>
              <w:bottom w:val="single" w:sz="4" w:space="0" w:color="auto"/>
              <w:right w:val="single" w:sz="4" w:space="0" w:color="auto"/>
            </w:tcBorders>
            <w:vAlign w:val="center"/>
            <w:hideMark/>
          </w:tcPr>
          <w:p w14:paraId="0B8D52EB" w14:textId="77777777" w:rsidR="00BF399A" w:rsidRDefault="00BF399A" w:rsidP="00D308D9">
            <w:pPr>
              <w:jc w:val="right"/>
            </w:pPr>
            <w:r>
              <w:t>(14030,14115)</w:t>
            </w:r>
          </w:p>
        </w:tc>
      </w:tr>
    </w:tbl>
    <w:p w14:paraId="2CB14770" w14:textId="77777777" w:rsidR="00BF399A" w:rsidRPr="004A666F" w:rsidRDefault="00BF399A" w:rsidP="00BF399A">
      <w:pPr>
        <w:spacing w:line="240" w:lineRule="auto"/>
        <w:rPr>
          <w:sz w:val="24"/>
          <w:szCs w:val="24"/>
        </w:rPr>
      </w:pPr>
      <w:r>
        <w:rPr>
          <w:sz w:val="24"/>
          <w:szCs w:val="24"/>
        </w:rPr>
        <w:t xml:space="preserve">Note: </w:t>
      </w:r>
      <w:r w:rsidRPr="00EF3D08">
        <w:rPr>
          <w:sz w:val="24"/>
          <w:szCs w:val="24"/>
        </w:rPr>
        <w:t xml:space="preserve">Estimates of bias, relative bias and variance for other variables (when household size is treated as a three-level benchmark in CO process) are provided in Appendix </w:t>
      </w:r>
      <w:r>
        <w:rPr>
          <w:sz w:val="24"/>
          <w:szCs w:val="24"/>
        </w:rPr>
        <w:t>B</w:t>
      </w:r>
      <w:r w:rsidRPr="00EF3D08">
        <w:rPr>
          <w:sz w:val="24"/>
          <w:szCs w:val="24"/>
        </w:rPr>
        <w:t>.</w:t>
      </w:r>
    </w:p>
    <w:p w14:paraId="280E6330" w14:textId="77777777" w:rsidR="00BF399A" w:rsidRDefault="00BF399A" w:rsidP="00BF399A">
      <w:pPr>
        <w:spacing w:line="240" w:lineRule="auto"/>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Section 3   T</w:t>
      </w:r>
      <w:r w:rsidRPr="006509D7">
        <w:rPr>
          <w:rFonts w:ascii="Calibri" w:eastAsia="Times New Roman" w:hAnsi="Calibri" w:cs="Times New Roman"/>
          <w:b/>
          <w:sz w:val="24"/>
          <w:szCs w:val="24"/>
          <w:lang w:eastAsia="en-GB"/>
        </w:rPr>
        <w:t>he two</w:t>
      </w:r>
      <w:r>
        <w:rPr>
          <w:rFonts w:ascii="Calibri" w:eastAsia="Times New Roman" w:hAnsi="Calibri" w:cs="Times New Roman"/>
          <w:b/>
          <w:sz w:val="24"/>
          <w:szCs w:val="24"/>
          <w:lang w:eastAsia="en-GB"/>
        </w:rPr>
        <w:t>-</w:t>
      </w:r>
      <w:r w:rsidRPr="006509D7">
        <w:rPr>
          <w:rFonts w:ascii="Calibri" w:eastAsia="Times New Roman" w:hAnsi="Calibri" w:cs="Times New Roman"/>
          <w:b/>
          <w:sz w:val="24"/>
          <w:szCs w:val="24"/>
          <w:lang w:eastAsia="en-GB"/>
        </w:rPr>
        <w:t>stage approach under different scenarios for census coverage</w:t>
      </w:r>
      <w:r>
        <w:rPr>
          <w:rFonts w:ascii="Calibri" w:eastAsia="Times New Roman" w:hAnsi="Calibri" w:cs="Times New Roman"/>
          <w:b/>
          <w:sz w:val="24"/>
          <w:szCs w:val="24"/>
          <w:lang w:eastAsia="en-GB"/>
        </w:rPr>
        <w:t>.</w:t>
      </w:r>
    </w:p>
    <w:p w14:paraId="4AFFF790" w14:textId="77777777" w:rsidR="00BF399A" w:rsidRPr="00AE2B70" w:rsidRDefault="00BF399A" w:rsidP="00BF399A">
      <w:pPr>
        <w:spacing w:line="240" w:lineRule="auto"/>
        <w:rPr>
          <w:i/>
          <w:color w:val="F79646" w:themeColor="accent6"/>
          <w:sz w:val="24"/>
          <w:szCs w:val="24"/>
        </w:rPr>
      </w:pPr>
      <w:r w:rsidRPr="00AE2B70">
        <w:rPr>
          <w:sz w:val="24"/>
          <w:szCs w:val="24"/>
        </w:rPr>
        <w:t xml:space="preserve">The justification for simplifying to a two-stage process is that persons missed in counted households will be implicitly corrected through the selection, and placement of donor households that account for both individual and household characteristic benchmarks. So, for example if a man is missed from a household with a woman and child, instead of imputing a man into an existing two-person household we impute a three-person household and omit </w:t>
      </w:r>
      <w:r w:rsidRPr="00AE2B70">
        <w:rPr>
          <w:sz w:val="24"/>
          <w:szCs w:val="24"/>
        </w:rPr>
        <w:lastRenderedPageBreak/>
        <w:t>imputation of a two-person household to compensate. The aim is to obtain representative aggregate level population totals rather than an accurate unit level data base. It also reduces complexity in the methodology, and therefore the risk of problems like those experienced in 2011.</w:t>
      </w:r>
    </w:p>
    <w:p w14:paraId="58C921F5" w14:textId="77777777" w:rsidR="00BF399A" w:rsidRPr="0041178A" w:rsidRDefault="00BF399A" w:rsidP="00BF399A">
      <w:pPr>
        <w:spacing w:line="240" w:lineRule="auto"/>
        <w:rPr>
          <w:rFonts w:ascii="Calibri" w:eastAsia="Times New Roman" w:hAnsi="Calibri" w:cs="Times New Roman"/>
          <w:color w:val="F79646" w:themeColor="accent6"/>
          <w:sz w:val="24"/>
          <w:szCs w:val="24"/>
          <w:lang w:eastAsia="en-GB"/>
        </w:rPr>
      </w:pPr>
      <w:r w:rsidRPr="00B13D7A">
        <w:rPr>
          <w:rFonts w:ascii="Calibri" w:eastAsia="Times New Roman" w:hAnsi="Calibri" w:cs="Times New Roman"/>
          <w:sz w:val="24"/>
          <w:szCs w:val="24"/>
          <w:lang w:eastAsia="en-GB"/>
        </w:rPr>
        <w:t xml:space="preserve">In this section the </w:t>
      </w:r>
      <w:bookmarkStart w:id="4" w:name="_Hlk17362783"/>
      <w:r w:rsidRPr="00B13D7A">
        <w:rPr>
          <w:rFonts w:ascii="Calibri" w:eastAsia="Times New Roman" w:hAnsi="Calibri" w:cs="Times New Roman"/>
          <w:sz w:val="24"/>
          <w:szCs w:val="24"/>
          <w:lang w:eastAsia="en-GB"/>
        </w:rPr>
        <w:t>performance of the CO methods in the two</w:t>
      </w:r>
      <w:r>
        <w:rPr>
          <w:rFonts w:ascii="Calibri" w:eastAsia="Times New Roman" w:hAnsi="Calibri" w:cs="Times New Roman"/>
          <w:sz w:val="24"/>
          <w:szCs w:val="24"/>
          <w:lang w:eastAsia="en-GB"/>
        </w:rPr>
        <w:t>-</w:t>
      </w:r>
      <w:r w:rsidRPr="00B13D7A">
        <w:rPr>
          <w:rFonts w:ascii="Calibri" w:eastAsia="Times New Roman" w:hAnsi="Calibri" w:cs="Times New Roman"/>
          <w:sz w:val="24"/>
          <w:szCs w:val="24"/>
          <w:lang w:eastAsia="en-GB"/>
        </w:rPr>
        <w:t xml:space="preserve">stage approach is tested under </w:t>
      </w:r>
      <w:r>
        <w:rPr>
          <w:rFonts w:ascii="Calibri" w:eastAsia="Times New Roman" w:hAnsi="Calibri" w:cs="Times New Roman"/>
          <w:sz w:val="24"/>
          <w:szCs w:val="24"/>
          <w:lang w:eastAsia="en-GB"/>
        </w:rPr>
        <w:t>a different</w:t>
      </w:r>
      <w:r w:rsidRPr="00B13D7A">
        <w:rPr>
          <w:rFonts w:ascii="Calibri" w:eastAsia="Times New Roman" w:hAnsi="Calibri" w:cs="Times New Roman"/>
          <w:sz w:val="24"/>
          <w:szCs w:val="24"/>
          <w:lang w:eastAsia="en-GB"/>
        </w:rPr>
        <w:t xml:space="preserve"> scenario for census coverage</w:t>
      </w:r>
      <w:bookmarkEnd w:id="4"/>
      <w:r w:rsidRPr="006509D7">
        <w:rPr>
          <w:rFonts w:ascii="Calibri" w:eastAsia="Times New Roman" w:hAnsi="Calibri" w:cs="Times New Roman"/>
          <w:b/>
          <w:sz w:val="24"/>
          <w:szCs w:val="24"/>
          <w:lang w:eastAsia="en-GB"/>
        </w:rPr>
        <w:t xml:space="preserve"> </w:t>
      </w:r>
      <w:r w:rsidRPr="00F00088">
        <w:rPr>
          <w:rFonts w:ascii="Calibri" w:eastAsia="Times New Roman" w:hAnsi="Calibri" w:cs="Times New Roman"/>
          <w:sz w:val="24"/>
          <w:szCs w:val="24"/>
          <w:lang w:eastAsia="en-GB"/>
        </w:rPr>
        <w:t>(e.g. when the proportions of people missed from counted households compared to missed households is substantially greater than in 2011)</w:t>
      </w:r>
      <w:r>
        <w:rPr>
          <w:rFonts w:ascii="Calibri" w:eastAsia="Times New Roman" w:hAnsi="Calibri" w:cs="Times New Roman"/>
          <w:sz w:val="24"/>
          <w:szCs w:val="24"/>
          <w:lang w:eastAsia="en-GB"/>
        </w:rPr>
        <w:t>. The objective was to test the limits of the CO method in compensating for people missed from counted households in the two-stage approach. (</w:t>
      </w:r>
      <w:r w:rsidRPr="00677C8A">
        <w:rPr>
          <w:rFonts w:ascii="Calibri" w:eastAsia="Times New Roman" w:hAnsi="Calibri" w:cs="Times New Roman"/>
          <w:sz w:val="24"/>
          <w:szCs w:val="24"/>
          <w:lang w:eastAsia="en-GB"/>
        </w:rPr>
        <w:t xml:space="preserve">This </w:t>
      </w:r>
      <w:r>
        <w:rPr>
          <w:rFonts w:ascii="Calibri" w:eastAsia="Times New Roman" w:hAnsi="Calibri" w:cs="Times New Roman"/>
          <w:sz w:val="24"/>
          <w:szCs w:val="24"/>
          <w:lang w:eastAsia="en-GB"/>
        </w:rPr>
        <w:t xml:space="preserve">is </w:t>
      </w:r>
      <w:r w:rsidRPr="00677C8A">
        <w:rPr>
          <w:rFonts w:ascii="Calibri" w:eastAsia="Times New Roman" w:hAnsi="Calibri" w:cs="Times New Roman"/>
          <w:sz w:val="24"/>
          <w:szCs w:val="24"/>
          <w:lang w:eastAsia="en-GB"/>
        </w:rPr>
        <w:t>work</w:t>
      </w:r>
      <w:r>
        <w:rPr>
          <w:rFonts w:ascii="Calibri" w:eastAsia="Times New Roman" w:hAnsi="Calibri" w:cs="Times New Roman"/>
          <w:sz w:val="24"/>
          <w:szCs w:val="24"/>
          <w:lang w:eastAsia="en-GB"/>
        </w:rPr>
        <w:t xml:space="preserve"> in progress</w:t>
      </w:r>
      <w:r w:rsidRPr="00677C8A">
        <w:rPr>
          <w:rFonts w:ascii="Calibri" w:eastAsia="Times New Roman" w:hAnsi="Calibri" w:cs="Times New Roman"/>
          <w:sz w:val="24"/>
          <w:szCs w:val="24"/>
          <w:lang w:eastAsia="en-GB"/>
        </w:rPr>
        <w:t>, so a more detailed paper is not yet available for reference.)</w:t>
      </w:r>
    </w:p>
    <w:p w14:paraId="37289B42" w14:textId="77777777" w:rsidR="00BF399A" w:rsidRPr="00913710" w:rsidRDefault="00BF399A" w:rsidP="00BF399A">
      <w:pPr>
        <w:spacing w:line="240" w:lineRule="auto"/>
        <w:rPr>
          <w:rFonts w:ascii="Calibri" w:eastAsia="Times New Roman" w:hAnsi="Calibri" w:cs="Times New Roman"/>
          <w:sz w:val="24"/>
          <w:szCs w:val="24"/>
          <w:lang w:eastAsia="en-GB"/>
        </w:rPr>
      </w:pPr>
      <w:r w:rsidRPr="00A51335">
        <w:rPr>
          <w:rFonts w:ascii="Calibri" w:eastAsia="Times New Roman" w:hAnsi="Calibri" w:cs="Times New Roman"/>
          <w:sz w:val="24"/>
          <w:szCs w:val="24"/>
          <w:lang w:eastAsia="en-GB"/>
        </w:rPr>
        <w:t>For this analysis persons were removed from counted households in the unadjusted census database thus creating different coverage scenarios.  Counted households were not removed</w:t>
      </w:r>
      <w:r>
        <w:rPr>
          <w:rFonts w:ascii="Calibri" w:eastAsia="Times New Roman" w:hAnsi="Calibri" w:cs="Times New Roman"/>
          <w:sz w:val="24"/>
          <w:szCs w:val="24"/>
          <w:lang w:eastAsia="en-GB"/>
        </w:rPr>
        <w:t>, because the aim was to increase the relative proportion of persons missed from counted as opposed to missed households. We believed this would be the most challenging scenario for the 2021 strategy. Further work will test coverage patterns whereby numbers of missed households are increased as this is the most likely scenario with lower census response rates. T</w:t>
      </w:r>
      <w:r w:rsidRPr="00A51335">
        <w:rPr>
          <w:rFonts w:ascii="Calibri" w:eastAsia="Times New Roman" w:hAnsi="Calibri" w:cs="Times New Roman"/>
          <w:sz w:val="24"/>
          <w:szCs w:val="24"/>
          <w:lang w:eastAsia="en-GB"/>
        </w:rPr>
        <w:t xml:space="preserve">he benchmarks </w:t>
      </w:r>
      <w:r>
        <w:rPr>
          <w:rFonts w:ascii="Calibri" w:eastAsia="Times New Roman" w:hAnsi="Calibri" w:cs="Times New Roman"/>
          <w:sz w:val="24"/>
          <w:szCs w:val="24"/>
          <w:lang w:eastAsia="en-GB"/>
        </w:rPr>
        <w:t xml:space="preserve">were kept </w:t>
      </w:r>
      <w:r w:rsidRPr="00A51335">
        <w:rPr>
          <w:rFonts w:ascii="Calibri" w:eastAsia="Times New Roman" w:hAnsi="Calibri" w:cs="Times New Roman"/>
          <w:sz w:val="24"/>
          <w:szCs w:val="24"/>
          <w:lang w:eastAsia="en-GB"/>
        </w:rPr>
        <w:t>unchanged on the basis that the coverage estimation would have</w:t>
      </w:r>
      <w:r>
        <w:rPr>
          <w:rFonts w:ascii="Calibri" w:eastAsia="Times New Roman" w:hAnsi="Calibri" w:cs="Times New Roman"/>
          <w:sz w:val="24"/>
          <w:szCs w:val="24"/>
          <w:lang w:eastAsia="en-GB"/>
        </w:rPr>
        <w:t xml:space="preserve"> accurately</w:t>
      </w:r>
      <w:r w:rsidRPr="00A51335">
        <w:rPr>
          <w:rFonts w:ascii="Calibri" w:eastAsia="Times New Roman" w:hAnsi="Calibri" w:cs="Times New Roman"/>
          <w:sz w:val="24"/>
          <w:szCs w:val="24"/>
          <w:lang w:eastAsia="en-GB"/>
        </w:rPr>
        <w:t xml:space="preserve"> accounted for the different coverage scenario</w:t>
      </w:r>
      <w:r>
        <w:rPr>
          <w:rFonts w:ascii="Calibri" w:eastAsia="Times New Roman" w:hAnsi="Calibri" w:cs="Times New Roman"/>
          <w:sz w:val="24"/>
          <w:szCs w:val="24"/>
          <w:lang w:eastAsia="en-GB"/>
        </w:rPr>
        <w:t>s (although in practice this may be overly optimistic particularly for household size)</w:t>
      </w:r>
      <w:r w:rsidRPr="00A51335">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 xml:space="preserve">In the scenario tested here the unadjusted census database would contain a greater number of smaller households due to the removal of extra persons. </w:t>
      </w:r>
      <w:r w:rsidRPr="00A51335">
        <w:rPr>
          <w:rFonts w:ascii="Calibri" w:eastAsia="Times New Roman" w:hAnsi="Calibri" w:cs="Times New Roman"/>
          <w:sz w:val="24"/>
          <w:szCs w:val="24"/>
          <w:lang w:eastAsia="en-GB"/>
        </w:rPr>
        <w:t>The numbers of persons imputed into counted households in 2011 were used as a basis for deciding how many extra persons to remove from counted households.</w:t>
      </w:r>
      <w:r w:rsidRPr="00137133">
        <w:rPr>
          <w:rFonts w:ascii="Calibri" w:eastAsia="Times New Roman" w:hAnsi="Calibri" w:cs="Times New Roman"/>
          <w:sz w:val="24"/>
          <w:szCs w:val="24"/>
          <w:lang w:eastAsia="en-GB"/>
        </w:rPr>
        <w:t xml:space="preserve"> </w:t>
      </w:r>
    </w:p>
    <w:p w14:paraId="2BD8F1FE" w14:textId="77777777" w:rsidR="00BF399A" w:rsidRPr="00A51335" w:rsidRDefault="00BF399A" w:rsidP="00BF399A">
      <w:pPr>
        <w:pStyle w:val="CommentText"/>
      </w:pPr>
      <w:r w:rsidRPr="00E408DA">
        <w:rPr>
          <w:rFonts w:ascii="Calibri" w:eastAsia="Times New Roman" w:hAnsi="Calibri" w:cs="Times New Roman"/>
          <w:sz w:val="24"/>
          <w:szCs w:val="24"/>
          <w:lang w:eastAsia="en-GB"/>
        </w:rPr>
        <w:t xml:space="preserve">Three of the 5 EAs used in the previous analyses were selected for this initial assessment </w:t>
      </w:r>
      <w:r>
        <w:rPr>
          <w:rFonts w:ascii="Calibri" w:eastAsia="Times New Roman" w:hAnsi="Calibri" w:cs="Times New Roman"/>
          <w:sz w:val="24"/>
          <w:szCs w:val="24"/>
          <w:lang w:eastAsia="en-GB"/>
        </w:rPr>
        <w:t xml:space="preserve">and </w:t>
      </w:r>
      <w:r w:rsidRPr="00E408DA">
        <w:rPr>
          <w:rFonts w:ascii="Calibri" w:eastAsia="Times New Roman" w:hAnsi="Calibri" w:cs="Times New Roman"/>
          <w:sz w:val="24"/>
          <w:szCs w:val="24"/>
          <w:lang w:eastAsia="en-GB"/>
        </w:rPr>
        <w:t xml:space="preserve">comparisons </w:t>
      </w:r>
      <w:r>
        <w:rPr>
          <w:rFonts w:ascii="Calibri" w:eastAsia="Times New Roman" w:hAnsi="Calibri" w:cs="Times New Roman"/>
          <w:sz w:val="24"/>
          <w:szCs w:val="24"/>
          <w:lang w:eastAsia="en-GB"/>
        </w:rPr>
        <w:t xml:space="preserve">made with </w:t>
      </w:r>
      <w:r w:rsidRPr="00E408DA">
        <w:rPr>
          <w:rFonts w:ascii="Calibri" w:eastAsia="Times New Roman" w:hAnsi="Calibri" w:cs="Times New Roman"/>
          <w:sz w:val="24"/>
          <w:szCs w:val="24"/>
          <w:lang w:eastAsia="en-GB"/>
        </w:rPr>
        <w:t xml:space="preserve">the previous results. A random selection of persons was removed from the donor pool (unadjusted 2011 Census data) for each </w:t>
      </w:r>
      <w:r>
        <w:rPr>
          <w:rFonts w:ascii="Calibri" w:eastAsia="Times New Roman" w:hAnsi="Calibri" w:cs="Times New Roman"/>
          <w:sz w:val="24"/>
          <w:szCs w:val="24"/>
          <w:lang w:eastAsia="en-GB"/>
        </w:rPr>
        <w:t>EA;</w:t>
      </w:r>
      <w:r w:rsidRPr="00E408DA">
        <w:rPr>
          <w:rFonts w:ascii="Calibri" w:eastAsia="Times New Roman" w:hAnsi="Calibri" w:cs="Times New Roman"/>
          <w:sz w:val="24"/>
          <w:szCs w:val="24"/>
          <w:lang w:eastAsia="en-GB"/>
        </w:rPr>
        <w:t xml:space="preserve"> for the first 2 EAs (</w:t>
      </w:r>
      <w:r w:rsidRPr="00E408DA">
        <w:rPr>
          <w:sz w:val="24"/>
          <w:szCs w:val="24"/>
        </w:rPr>
        <w:t>EM05NSDE (East Midlands, North and South Derbyshire) and SW08MIDE (South West, Mid and East Devon and Somerset))</w:t>
      </w:r>
      <w:r w:rsidRPr="00E408DA">
        <w:rPr>
          <w:rFonts w:ascii="Calibri" w:eastAsia="Times New Roman" w:hAnsi="Calibri" w:cs="Times New Roman"/>
          <w:sz w:val="24"/>
          <w:szCs w:val="24"/>
          <w:lang w:eastAsia="en-GB"/>
        </w:rPr>
        <w:t xml:space="preserve"> the removals resulted in twice the number of persons missed from counted households compared to 2011. The final estimation area (</w:t>
      </w:r>
      <w:r w:rsidRPr="00E408DA">
        <w:rPr>
          <w:sz w:val="24"/>
          <w:szCs w:val="24"/>
        </w:rPr>
        <w:t xml:space="preserve">OL13WALT (outer London, Waltham Forest)) </w:t>
      </w:r>
      <w:r w:rsidRPr="00E408DA">
        <w:rPr>
          <w:rFonts w:ascii="Calibri" w:eastAsia="Times New Roman" w:hAnsi="Calibri" w:cs="Times New Roman"/>
          <w:sz w:val="24"/>
          <w:szCs w:val="24"/>
          <w:lang w:eastAsia="en-GB"/>
        </w:rPr>
        <w:t xml:space="preserve">resulted in 1.5 times the number missing, as removing a greater proportion created a greater number of two person households than was evident in the coverage estimates. The random selection </w:t>
      </w:r>
      <w:r>
        <w:rPr>
          <w:rFonts w:ascii="Calibri" w:eastAsia="Times New Roman" w:hAnsi="Calibri" w:cs="Times New Roman"/>
          <w:sz w:val="24"/>
          <w:szCs w:val="24"/>
          <w:lang w:eastAsia="en-GB"/>
        </w:rPr>
        <w:t xml:space="preserve">of persons </w:t>
      </w:r>
      <w:r w:rsidRPr="00E408DA">
        <w:rPr>
          <w:rFonts w:ascii="Calibri" w:eastAsia="Times New Roman" w:hAnsi="Calibri" w:cs="Times New Roman"/>
          <w:sz w:val="24"/>
          <w:szCs w:val="24"/>
          <w:lang w:eastAsia="en-GB"/>
        </w:rPr>
        <w:t xml:space="preserve">to </w:t>
      </w:r>
      <w:r>
        <w:rPr>
          <w:rFonts w:ascii="Calibri" w:eastAsia="Times New Roman" w:hAnsi="Calibri" w:cs="Times New Roman"/>
          <w:sz w:val="24"/>
          <w:szCs w:val="24"/>
          <w:lang w:eastAsia="en-GB"/>
        </w:rPr>
        <w:t xml:space="preserve">be </w:t>
      </w:r>
      <w:r w:rsidRPr="00E408DA">
        <w:rPr>
          <w:rFonts w:ascii="Calibri" w:eastAsia="Times New Roman" w:hAnsi="Calibri" w:cs="Times New Roman"/>
          <w:sz w:val="24"/>
          <w:szCs w:val="24"/>
          <w:lang w:eastAsia="en-GB"/>
        </w:rPr>
        <w:t>remove</w:t>
      </w:r>
      <w:r>
        <w:rPr>
          <w:rFonts w:ascii="Calibri" w:eastAsia="Times New Roman" w:hAnsi="Calibri" w:cs="Times New Roman"/>
          <w:sz w:val="24"/>
          <w:szCs w:val="24"/>
          <w:lang w:eastAsia="en-GB"/>
        </w:rPr>
        <w:t>d</w:t>
      </w:r>
      <w:r w:rsidRPr="00E408DA">
        <w:rPr>
          <w:rFonts w:ascii="Calibri" w:eastAsia="Times New Roman" w:hAnsi="Calibri" w:cs="Times New Roman"/>
          <w:sz w:val="24"/>
          <w:szCs w:val="24"/>
          <w:lang w:eastAsia="en-GB"/>
        </w:rPr>
        <w:t xml:space="preserve"> was partly informed by estimated probabilities </w:t>
      </w:r>
      <w:r>
        <w:rPr>
          <w:rFonts w:ascii="Calibri" w:eastAsia="Times New Roman" w:hAnsi="Calibri" w:cs="Times New Roman"/>
          <w:sz w:val="24"/>
          <w:szCs w:val="24"/>
          <w:lang w:eastAsia="en-GB"/>
        </w:rPr>
        <w:t xml:space="preserve">of being </w:t>
      </w:r>
      <w:r w:rsidRPr="00E408DA">
        <w:rPr>
          <w:rFonts w:ascii="Calibri" w:eastAsia="Times New Roman" w:hAnsi="Calibri" w:cs="Times New Roman"/>
          <w:sz w:val="24"/>
          <w:szCs w:val="24"/>
          <w:lang w:eastAsia="en-GB"/>
        </w:rPr>
        <w:t>missed from a counted household</w:t>
      </w:r>
      <w:r>
        <w:rPr>
          <w:rFonts w:ascii="Calibri" w:eastAsia="Times New Roman" w:hAnsi="Calibri" w:cs="Times New Roman"/>
          <w:sz w:val="24"/>
          <w:szCs w:val="24"/>
          <w:lang w:eastAsia="en-GB"/>
        </w:rPr>
        <w:t>,</w:t>
      </w:r>
      <w:r w:rsidRPr="00E408DA">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 xml:space="preserve">obtained </w:t>
      </w:r>
      <w:r w:rsidRPr="00E408DA">
        <w:rPr>
          <w:rFonts w:ascii="Calibri" w:eastAsia="Times New Roman" w:hAnsi="Calibri" w:cs="Times New Roman"/>
          <w:sz w:val="24"/>
          <w:szCs w:val="24"/>
          <w:lang w:eastAsia="en-GB"/>
        </w:rPr>
        <w:t xml:space="preserve">from </w:t>
      </w:r>
      <w:r>
        <w:rPr>
          <w:rFonts w:ascii="Calibri" w:eastAsia="Times New Roman" w:hAnsi="Calibri" w:cs="Times New Roman"/>
          <w:sz w:val="24"/>
          <w:szCs w:val="24"/>
          <w:lang w:eastAsia="en-GB"/>
        </w:rPr>
        <w:t xml:space="preserve">the </w:t>
      </w:r>
      <w:r w:rsidRPr="00E408DA">
        <w:rPr>
          <w:rFonts w:ascii="Calibri" w:eastAsia="Times New Roman" w:hAnsi="Calibri" w:cs="Times New Roman"/>
          <w:sz w:val="24"/>
          <w:szCs w:val="24"/>
          <w:lang w:eastAsia="en-GB"/>
        </w:rPr>
        <w:t xml:space="preserve">2011 </w:t>
      </w:r>
      <w:r>
        <w:rPr>
          <w:rFonts w:ascii="Calibri" w:eastAsia="Times New Roman" w:hAnsi="Calibri" w:cs="Times New Roman"/>
          <w:sz w:val="24"/>
          <w:szCs w:val="24"/>
          <w:lang w:eastAsia="en-GB"/>
        </w:rPr>
        <w:t xml:space="preserve">adjustment system. In other words, </w:t>
      </w:r>
      <w:r w:rsidRPr="00E408DA">
        <w:rPr>
          <w:rFonts w:ascii="Calibri" w:eastAsia="Times New Roman" w:hAnsi="Calibri" w:cs="Times New Roman"/>
          <w:sz w:val="24"/>
          <w:szCs w:val="24"/>
          <w:lang w:eastAsia="en-GB"/>
        </w:rPr>
        <w:t xml:space="preserve">persons were selected from respondents who had a </w:t>
      </w:r>
      <w:r>
        <w:rPr>
          <w:rFonts w:ascii="Calibri" w:eastAsia="Times New Roman" w:hAnsi="Calibri" w:cs="Times New Roman"/>
          <w:sz w:val="24"/>
          <w:szCs w:val="24"/>
          <w:lang w:eastAsia="en-GB"/>
        </w:rPr>
        <w:t>compar</w:t>
      </w:r>
      <w:r w:rsidRPr="00E408DA">
        <w:rPr>
          <w:rFonts w:ascii="Calibri" w:eastAsia="Times New Roman" w:hAnsi="Calibri" w:cs="Times New Roman"/>
          <w:sz w:val="24"/>
          <w:szCs w:val="24"/>
          <w:lang w:eastAsia="en-GB"/>
        </w:rPr>
        <w:t>atively high estimated probability of being missed from a counted household. To date this assessment has only been run with one random selection of persons being removed from each estimation area’s donor pool,</w:t>
      </w:r>
      <w:r>
        <w:rPr>
          <w:rFonts w:ascii="Calibri" w:eastAsia="Times New Roman" w:hAnsi="Calibri" w:cs="Times New Roman"/>
          <w:sz w:val="24"/>
          <w:szCs w:val="24"/>
          <w:lang w:eastAsia="en-GB"/>
        </w:rPr>
        <w:t xml:space="preserve"> although</w:t>
      </w:r>
      <w:r w:rsidRPr="00E408DA">
        <w:rPr>
          <w:rFonts w:ascii="Calibri" w:eastAsia="Times New Roman" w:hAnsi="Calibri" w:cs="Times New Roman"/>
          <w:sz w:val="24"/>
          <w:szCs w:val="24"/>
          <w:lang w:eastAsia="en-GB"/>
        </w:rPr>
        <w:t xml:space="preserve"> the results will likely vary for different selections. In our future work we plan to extend this initial analysis by removing different selections of persons in simulations.</w:t>
      </w:r>
    </w:p>
    <w:p w14:paraId="3CC86DE6" w14:textId="77777777" w:rsidR="00BF399A" w:rsidRDefault="00BF399A" w:rsidP="00BF399A">
      <w:pPr>
        <w:rPr>
          <w:b/>
          <w:sz w:val="24"/>
        </w:rPr>
      </w:pPr>
    </w:p>
    <w:p w14:paraId="702CD51D" w14:textId="77777777" w:rsidR="00BF399A" w:rsidRDefault="00BF399A" w:rsidP="00BF399A">
      <w:pPr>
        <w:rPr>
          <w:b/>
          <w:sz w:val="24"/>
        </w:rPr>
      </w:pPr>
    </w:p>
    <w:p w14:paraId="02F89B19" w14:textId="77777777" w:rsidR="00BF399A" w:rsidRDefault="00BF399A" w:rsidP="00BF399A">
      <w:pPr>
        <w:rPr>
          <w:b/>
          <w:sz w:val="24"/>
        </w:rPr>
      </w:pPr>
      <w:r>
        <w:rPr>
          <w:b/>
          <w:sz w:val="24"/>
        </w:rPr>
        <w:lastRenderedPageBreak/>
        <w:t xml:space="preserve">Table </w:t>
      </w:r>
      <w:r w:rsidRPr="00C84155">
        <w:rPr>
          <w:b/>
          <w:sz w:val="24"/>
        </w:rPr>
        <w:t>4:</w:t>
      </w:r>
      <w:r>
        <w:rPr>
          <w:b/>
          <w:sz w:val="24"/>
        </w:rPr>
        <w:t xml:space="preserve"> Estimates of bias, relative bias and variance for the CO results for estimation area EM05NSDE in the East Midlands, household size as five level benchmark, estimation area level benchmarks and estimation area level donor pool used in CO process</w:t>
      </w:r>
      <w:r>
        <w:rPr>
          <w:b/>
          <w:sz w:val="24"/>
          <w:szCs w:val="24"/>
        </w:rPr>
        <w:t xml:space="preserve">, </w:t>
      </w:r>
      <w:r w:rsidRPr="00F70D81">
        <w:rPr>
          <w:b/>
          <w:i/>
          <w:sz w:val="24"/>
          <w:szCs w:val="24"/>
        </w:rPr>
        <w:t>with</w:t>
      </w:r>
      <w:r>
        <w:rPr>
          <w:b/>
          <w:i/>
          <w:sz w:val="24"/>
          <w:szCs w:val="24"/>
        </w:rPr>
        <w:t xml:space="preserve"> a</w:t>
      </w:r>
      <w:r w:rsidRPr="00F70D81">
        <w:rPr>
          <w:b/>
          <w:i/>
          <w:sz w:val="24"/>
          <w:szCs w:val="24"/>
        </w:rPr>
        <w:t xml:space="preserve"> random selection of persons removed from counted households</w:t>
      </w:r>
    </w:p>
    <w:tbl>
      <w:tblPr>
        <w:tblStyle w:val="TableGrid"/>
        <w:tblpPr w:leftFromText="180" w:rightFromText="180" w:vertAnchor="text" w:horzAnchor="margin" w:tblpY="44"/>
        <w:tblW w:w="10296" w:type="dxa"/>
        <w:tblInd w:w="0" w:type="dxa"/>
        <w:tblLayout w:type="fixed"/>
        <w:tblLook w:val="04A0" w:firstRow="1" w:lastRow="0" w:firstColumn="1" w:lastColumn="0" w:noHBand="0" w:noVBand="1"/>
      </w:tblPr>
      <w:tblGrid>
        <w:gridCol w:w="1560"/>
        <w:gridCol w:w="1837"/>
        <w:gridCol w:w="1276"/>
        <w:gridCol w:w="2693"/>
        <w:gridCol w:w="1134"/>
        <w:gridCol w:w="1796"/>
      </w:tblGrid>
      <w:tr w:rsidR="00BF399A" w14:paraId="7A293DF3" w14:textId="77777777" w:rsidTr="00D308D9">
        <w:trPr>
          <w:tblHeader/>
        </w:trPr>
        <w:tc>
          <w:tcPr>
            <w:tcW w:w="1560" w:type="dxa"/>
            <w:hideMark/>
          </w:tcPr>
          <w:p w14:paraId="1662AE61" w14:textId="77777777" w:rsidR="00BF399A" w:rsidRDefault="00BF399A" w:rsidP="00D308D9">
            <w:r>
              <w:t>Variable</w:t>
            </w:r>
          </w:p>
        </w:tc>
        <w:tc>
          <w:tcPr>
            <w:tcW w:w="1837" w:type="dxa"/>
            <w:hideMark/>
          </w:tcPr>
          <w:p w14:paraId="62C87DBB" w14:textId="77777777" w:rsidR="00BF399A" w:rsidRDefault="00BF399A" w:rsidP="00D308D9">
            <w:r>
              <w:t>Average CO count over 100 runs</w:t>
            </w:r>
          </w:p>
        </w:tc>
        <w:tc>
          <w:tcPr>
            <w:tcW w:w="1276" w:type="dxa"/>
            <w:hideMark/>
          </w:tcPr>
          <w:p w14:paraId="408C4C25" w14:textId="77777777" w:rsidR="00BF399A" w:rsidRDefault="00BF399A" w:rsidP="00D308D9">
            <w:r>
              <w:t>Benchmark value</w:t>
            </w:r>
          </w:p>
        </w:tc>
        <w:tc>
          <w:tcPr>
            <w:tcW w:w="2693" w:type="dxa"/>
            <w:hideMark/>
          </w:tcPr>
          <w:p w14:paraId="6151FFC8" w14:textId="77777777" w:rsidR="00BF399A" w:rsidRDefault="00BF399A" w:rsidP="00D308D9">
            <w:r>
              <w:t>Bias (= average of (CO count - benchmark value))</w:t>
            </w:r>
          </w:p>
        </w:tc>
        <w:tc>
          <w:tcPr>
            <w:tcW w:w="1134" w:type="dxa"/>
            <w:hideMark/>
          </w:tcPr>
          <w:p w14:paraId="21CE7B6B" w14:textId="77777777" w:rsidR="00BF399A" w:rsidRDefault="00BF399A" w:rsidP="00D308D9">
            <w:r>
              <w:t>Relative bias</w:t>
            </w:r>
          </w:p>
        </w:tc>
        <w:tc>
          <w:tcPr>
            <w:tcW w:w="1796" w:type="dxa"/>
            <w:hideMark/>
          </w:tcPr>
          <w:p w14:paraId="09617098" w14:textId="77777777" w:rsidR="00BF399A" w:rsidRDefault="00BF399A" w:rsidP="00D308D9">
            <w:r>
              <w:t>95% CI for 100 CO counts</w:t>
            </w:r>
          </w:p>
        </w:tc>
      </w:tr>
      <w:tr w:rsidR="00BF399A" w14:paraId="11A07828" w14:textId="77777777" w:rsidTr="00D308D9">
        <w:trPr>
          <w:trHeight w:val="297"/>
        </w:trPr>
        <w:tc>
          <w:tcPr>
            <w:tcW w:w="1560" w:type="dxa"/>
            <w:hideMark/>
          </w:tcPr>
          <w:p w14:paraId="1B3A7F1A" w14:textId="77777777" w:rsidR="00BF399A" w:rsidRDefault="00BF399A" w:rsidP="00D308D9">
            <w:pPr>
              <w:rPr>
                <w:b/>
              </w:rPr>
            </w:pPr>
            <w:r>
              <w:rPr>
                <w:b/>
              </w:rPr>
              <w:t>Tenure</w:t>
            </w:r>
          </w:p>
        </w:tc>
        <w:tc>
          <w:tcPr>
            <w:tcW w:w="1837" w:type="dxa"/>
            <w:vAlign w:val="center"/>
          </w:tcPr>
          <w:p w14:paraId="2E2ACA9C" w14:textId="77777777" w:rsidR="00BF399A" w:rsidRDefault="00BF399A" w:rsidP="00D308D9">
            <w:pPr>
              <w:jc w:val="right"/>
              <w:rPr>
                <w:rFonts w:ascii="Calibri" w:hAnsi="Calibri"/>
                <w:color w:val="000000"/>
                <w:lang w:val="en-GB"/>
              </w:rPr>
            </w:pPr>
          </w:p>
        </w:tc>
        <w:tc>
          <w:tcPr>
            <w:tcW w:w="1276" w:type="dxa"/>
            <w:vAlign w:val="center"/>
          </w:tcPr>
          <w:p w14:paraId="3AAB850F" w14:textId="77777777" w:rsidR="00BF399A" w:rsidRDefault="00BF399A" w:rsidP="00D308D9">
            <w:pPr>
              <w:jc w:val="right"/>
            </w:pPr>
          </w:p>
        </w:tc>
        <w:tc>
          <w:tcPr>
            <w:tcW w:w="2693" w:type="dxa"/>
            <w:vAlign w:val="center"/>
          </w:tcPr>
          <w:p w14:paraId="611C67BD" w14:textId="77777777" w:rsidR="00BF399A" w:rsidRDefault="00BF399A" w:rsidP="00D308D9">
            <w:pPr>
              <w:jc w:val="right"/>
              <w:rPr>
                <w:rFonts w:ascii="Calibri" w:hAnsi="Calibri"/>
                <w:color w:val="000000"/>
                <w:lang w:val="en-GB"/>
              </w:rPr>
            </w:pPr>
          </w:p>
        </w:tc>
        <w:tc>
          <w:tcPr>
            <w:tcW w:w="1134" w:type="dxa"/>
            <w:vAlign w:val="center"/>
          </w:tcPr>
          <w:p w14:paraId="19C4AEF4" w14:textId="77777777" w:rsidR="00BF399A" w:rsidRDefault="00BF399A" w:rsidP="00D308D9">
            <w:pPr>
              <w:jc w:val="right"/>
              <w:rPr>
                <w:rFonts w:ascii="Calibri" w:hAnsi="Calibri"/>
                <w:color w:val="000000"/>
                <w:lang w:val="en-GB"/>
              </w:rPr>
            </w:pPr>
          </w:p>
        </w:tc>
        <w:tc>
          <w:tcPr>
            <w:tcW w:w="1796" w:type="dxa"/>
            <w:vAlign w:val="center"/>
          </w:tcPr>
          <w:p w14:paraId="297892B2" w14:textId="77777777" w:rsidR="00BF399A" w:rsidRDefault="00BF399A" w:rsidP="00D308D9">
            <w:pPr>
              <w:jc w:val="right"/>
            </w:pPr>
          </w:p>
        </w:tc>
      </w:tr>
      <w:tr w:rsidR="00BF399A" w14:paraId="774D4EFA" w14:textId="77777777" w:rsidTr="00D308D9">
        <w:tc>
          <w:tcPr>
            <w:tcW w:w="1560" w:type="dxa"/>
            <w:hideMark/>
          </w:tcPr>
          <w:p w14:paraId="542E4091" w14:textId="77777777" w:rsidR="00BF399A" w:rsidRDefault="00BF399A" w:rsidP="00D308D9">
            <w:r>
              <w:t>Owner Occupied</w:t>
            </w:r>
          </w:p>
        </w:tc>
        <w:tc>
          <w:tcPr>
            <w:tcW w:w="1837" w:type="dxa"/>
            <w:vAlign w:val="center"/>
          </w:tcPr>
          <w:p w14:paraId="0D6FD0B2" w14:textId="77777777" w:rsidR="00BF399A" w:rsidRDefault="00BF399A" w:rsidP="00D308D9">
            <w:pPr>
              <w:jc w:val="right"/>
              <w:rPr>
                <w:rFonts w:ascii="Calibri" w:hAnsi="Calibri"/>
                <w:color w:val="000000"/>
                <w:lang w:val="en-GB"/>
              </w:rPr>
            </w:pPr>
            <w:r>
              <w:rPr>
                <w:rFonts w:ascii="Calibri" w:hAnsi="Calibri"/>
                <w:color w:val="000000"/>
              </w:rPr>
              <w:t>102774</w:t>
            </w:r>
          </w:p>
        </w:tc>
        <w:tc>
          <w:tcPr>
            <w:tcW w:w="1276" w:type="dxa"/>
            <w:vAlign w:val="center"/>
          </w:tcPr>
          <w:p w14:paraId="15A60439" w14:textId="77777777" w:rsidR="00BF399A" w:rsidRDefault="00BF399A" w:rsidP="00D308D9">
            <w:pPr>
              <w:jc w:val="right"/>
            </w:pPr>
            <w:r>
              <w:t>102774</w:t>
            </w:r>
          </w:p>
        </w:tc>
        <w:tc>
          <w:tcPr>
            <w:tcW w:w="2693" w:type="dxa"/>
            <w:vAlign w:val="center"/>
          </w:tcPr>
          <w:p w14:paraId="1CFCC418" w14:textId="77777777" w:rsidR="00BF399A" w:rsidRDefault="00BF399A" w:rsidP="00D308D9">
            <w:pPr>
              <w:jc w:val="right"/>
              <w:rPr>
                <w:rFonts w:ascii="Calibri" w:hAnsi="Calibri"/>
                <w:color w:val="000000"/>
                <w:lang w:val="en-GB"/>
              </w:rPr>
            </w:pPr>
            <w:r>
              <w:rPr>
                <w:rFonts w:ascii="Calibri" w:hAnsi="Calibri"/>
                <w:color w:val="000000"/>
              </w:rPr>
              <w:t>0</w:t>
            </w:r>
          </w:p>
        </w:tc>
        <w:tc>
          <w:tcPr>
            <w:tcW w:w="1134" w:type="dxa"/>
            <w:vAlign w:val="center"/>
          </w:tcPr>
          <w:p w14:paraId="27FB87D7" w14:textId="77777777" w:rsidR="00BF399A" w:rsidRDefault="00BF399A" w:rsidP="00D308D9">
            <w:pPr>
              <w:jc w:val="right"/>
              <w:rPr>
                <w:rFonts w:ascii="Calibri" w:hAnsi="Calibri"/>
                <w:color w:val="000000"/>
                <w:lang w:val="en-GB"/>
              </w:rPr>
            </w:pPr>
            <w:r>
              <w:rPr>
                <w:rFonts w:ascii="Calibri" w:hAnsi="Calibri"/>
                <w:color w:val="000000"/>
              </w:rPr>
              <w:t>0</w:t>
            </w:r>
          </w:p>
        </w:tc>
        <w:tc>
          <w:tcPr>
            <w:tcW w:w="1796" w:type="dxa"/>
            <w:vAlign w:val="center"/>
          </w:tcPr>
          <w:p w14:paraId="779702A4" w14:textId="77777777" w:rsidR="00BF399A" w:rsidRDefault="00BF399A" w:rsidP="00D308D9">
            <w:pPr>
              <w:jc w:val="right"/>
            </w:pPr>
            <w:r>
              <w:t>(102772, 102776)</w:t>
            </w:r>
          </w:p>
        </w:tc>
      </w:tr>
      <w:tr w:rsidR="00BF399A" w14:paraId="655EF002" w14:textId="77777777" w:rsidTr="00D308D9">
        <w:tc>
          <w:tcPr>
            <w:tcW w:w="1560" w:type="dxa"/>
            <w:hideMark/>
          </w:tcPr>
          <w:p w14:paraId="6BDBC155" w14:textId="77777777" w:rsidR="00BF399A" w:rsidRDefault="00BF399A" w:rsidP="00D308D9">
            <w:r>
              <w:t>Owns with mortgage or loan</w:t>
            </w:r>
          </w:p>
        </w:tc>
        <w:tc>
          <w:tcPr>
            <w:tcW w:w="1837" w:type="dxa"/>
            <w:vAlign w:val="center"/>
          </w:tcPr>
          <w:p w14:paraId="6894C519" w14:textId="77777777" w:rsidR="00BF399A" w:rsidRDefault="00BF399A" w:rsidP="00D308D9">
            <w:pPr>
              <w:jc w:val="right"/>
              <w:rPr>
                <w:rFonts w:ascii="Calibri" w:hAnsi="Calibri"/>
                <w:color w:val="000000"/>
              </w:rPr>
            </w:pPr>
            <w:r>
              <w:rPr>
                <w:rFonts w:ascii="Calibri" w:hAnsi="Calibri"/>
                <w:color w:val="000000"/>
              </w:rPr>
              <w:t>97977</w:t>
            </w:r>
          </w:p>
        </w:tc>
        <w:tc>
          <w:tcPr>
            <w:tcW w:w="1276" w:type="dxa"/>
            <w:vAlign w:val="center"/>
          </w:tcPr>
          <w:p w14:paraId="2E5A4D97" w14:textId="77777777" w:rsidR="00BF399A" w:rsidRDefault="00BF399A" w:rsidP="00D308D9">
            <w:pPr>
              <w:jc w:val="right"/>
            </w:pPr>
            <w:r>
              <w:t>97977</w:t>
            </w:r>
          </w:p>
        </w:tc>
        <w:tc>
          <w:tcPr>
            <w:tcW w:w="2693" w:type="dxa"/>
            <w:vAlign w:val="center"/>
          </w:tcPr>
          <w:p w14:paraId="595F56D9" w14:textId="77777777" w:rsidR="00BF399A" w:rsidRDefault="00BF399A" w:rsidP="00D308D9">
            <w:pPr>
              <w:jc w:val="right"/>
              <w:rPr>
                <w:rFonts w:ascii="Calibri" w:hAnsi="Calibri"/>
                <w:color w:val="000000"/>
              </w:rPr>
            </w:pPr>
            <w:r>
              <w:rPr>
                <w:rFonts w:ascii="Calibri" w:hAnsi="Calibri"/>
                <w:color w:val="000000"/>
              </w:rPr>
              <w:t>0</w:t>
            </w:r>
          </w:p>
        </w:tc>
        <w:tc>
          <w:tcPr>
            <w:tcW w:w="1134" w:type="dxa"/>
            <w:vAlign w:val="center"/>
          </w:tcPr>
          <w:p w14:paraId="39939721" w14:textId="77777777" w:rsidR="00BF399A" w:rsidRDefault="00BF399A" w:rsidP="00D308D9">
            <w:pPr>
              <w:jc w:val="right"/>
              <w:rPr>
                <w:rFonts w:ascii="Calibri" w:hAnsi="Calibri"/>
                <w:color w:val="000000"/>
              </w:rPr>
            </w:pPr>
            <w:r>
              <w:rPr>
                <w:rFonts w:ascii="Calibri" w:hAnsi="Calibri"/>
                <w:color w:val="000000"/>
              </w:rPr>
              <w:t>0</w:t>
            </w:r>
          </w:p>
        </w:tc>
        <w:tc>
          <w:tcPr>
            <w:tcW w:w="1796" w:type="dxa"/>
            <w:vAlign w:val="center"/>
          </w:tcPr>
          <w:p w14:paraId="6E198DB9" w14:textId="77777777" w:rsidR="00BF399A" w:rsidRDefault="00BF399A" w:rsidP="00D308D9">
            <w:pPr>
              <w:jc w:val="right"/>
            </w:pPr>
            <w:r>
              <w:t>(97976, 97978)</w:t>
            </w:r>
          </w:p>
        </w:tc>
      </w:tr>
      <w:tr w:rsidR="00BF399A" w14:paraId="162799A3" w14:textId="77777777" w:rsidTr="00D308D9">
        <w:tc>
          <w:tcPr>
            <w:tcW w:w="1560" w:type="dxa"/>
            <w:hideMark/>
          </w:tcPr>
          <w:p w14:paraId="062A7C09" w14:textId="77777777" w:rsidR="00BF399A" w:rsidRDefault="00BF399A" w:rsidP="00D308D9">
            <w:r>
              <w:t>Shared ownership</w:t>
            </w:r>
          </w:p>
        </w:tc>
        <w:tc>
          <w:tcPr>
            <w:tcW w:w="1837" w:type="dxa"/>
            <w:vAlign w:val="center"/>
          </w:tcPr>
          <w:p w14:paraId="26E509B0" w14:textId="77777777" w:rsidR="00BF399A" w:rsidRDefault="00BF399A" w:rsidP="00D308D9">
            <w:pPr>
              <w:jc w:val="right"/>
              <w:rPr>
                <w:rFonts w:ascii="Calibri" w:hAnsi="Calibri"/>
                <w:color w:val="000000"/>
              </w:rPr>
            </w:pPr>
            <w:r>
              <w:rPr>
                <w:rFonts w:ascii="Calibri" w:hAnsi="Calibri"/>
                <w:color w:val="000000"/>
              </w:rPr>
              <w:t>1226</w:t>
            </w:r>
          </w:p>
        </w:tc>
        <w:tc>
          <w:tcPr>
            <w:tcW w:w="1276" w:type="dxa"/>
            <w:vAlign w:val="center"/>
          </w:tcPr>
          <w:p w14:paraId="3BB1630E" w14:textId="77777777" w:rsidR="00BF399A" w:rsidRDefault="00BF399A" w:rsidP="00D308D9">
            <w:pPr>
              <w:jc w:val="right"/>
            </w:pPr>
            <w:r>
              <w:t>1226</w:t>
            </w:r>
          </w:p>
        </w:tc>
        <w:tc>
          <w:tcPr>
            <w:tcW w:w="2693" w:type="dxa"/>
            <w:vAlign w:val="center"/>
          </w:tcPr>
          <w:p w14:paraId="1F31D9D1" w14:textId="77777777" w:rsidR="00BF399A" w:rsidRDefault="00BF399A" w:rsidP="00D308D9">
            <w:pPr>
              <w:jc w:val="right"/>
              <w:rPr>
                <w:rFonts w:ascii="Calibri" w:hAnsi="Calibri"/>
                <w:color w:val="000000"/>
              </w:rPr>
            </w:pPr>
            <w:r>
              <w:rPr>
                <w:rFonts w:ascii="Calibri" w:hAnsi="Calibri"/>
                <w:color w:val="000000"/>
              </w:rPr>
              <w:t>0</w:t>
            </w:r>
          </w:p>
        </w:tc>
        <w:tc>
          <w:tcPr>
            <w:tcW w:w="1134" w:type="dxa"/>
            <w:vAlign w:val="center"/>
          </w:tcPr>
          <w:p w14:paraId="567DF693" w14:textId="77777777" w:rsidR="00BF399A" w:rsidRDefault="00BF399A" w:rsidP="00D308D9">
            <w:pPr>
              <w:jc w:val="right"/>
              <w:rPr>
                <w:rFonts w:ascii="Calibri" w:hAnsi="Calibri"/>
                <w:color w:val="000000"/>
              </w:rPr>
            </w:pPr>
            <w:r>
              <w:rPr>
                <w:rFonts w:ascii="Calibri" w:hAnsi="Calibri"/>
                <w:color w:val="000000"/>
              </w:rPr>
              <w:t>0</w:t>
            </w:r>
          </w:p>
        </w:tc>
        <w:tc>
          <w:tcPr>
            <w:tcW w:w="1796" w:type="dxa"/>
            <w:vAlign w:val="center"/>
          </w:tcPr>
          <w:p w14:paraId="39694277" w14:textId="77777777" w:rsidR="00BF399A" w:rsidRDefault="00BF399A" w:rsidP="00D308D9">
            <w:pPr>
              <w:jc w:val="right"/>
            </w:pPr>
            <w:r>
              <w:t>(1224, 1227)</w:t>
            </w:r>
          </w:p>
        </w:tc>
      </w:tr>
      <w:tr w:rsidR="00BF399A" w14:paraId="6CC073B8" w14:textId="77777777" w:rsidTr="00D308D9">
        <w:tc>
          <w:tcPr>
            <w:tcW w:w="1560" w:type="dxa"/>
            <w:hideMark/>
          </w:tcPr>
          <w:p w14:paraId="083DC3DB" w14:textId="77777777" w:rsidR="00BF399A" w:rsidRDefault="00BF399A" w:rsidP="00D308D9">
            <w:r>
              <w:t>Renting</w:t>
            </w:r>
          </w:p>
        </w:tc>
        <w:tc>
          <w:tcPr>
            <w:tcW w:w="1837" w:type="dxa"/>
            <w:vAlign w:val="center"/>
          </w:tcPr>
          <w:p w14:paraId="448F6088" w14:textId="77777777" w:rsidR="00BF399A" w:rsidRDefault="00BF399A" w:rsidP="00D308D9">
            <w:pPr>
              <w:jc w:val="right"/>
              <w:rPr>
                <w:rFonts w:ascii="Calibri" w:hAnsi="Calibri"/>
                <w:color w:val="000000"/>
              </w:rPr>
            </w:pPr>
            <w:r>
              <w:rPr>
                <w:rFonts w:ascii="Calibri" w:hAnsi="Calibri"/>
                <w:color w:val="000000"/>
              </w:rPr>
              <w:t>78138</w:t>
            </w:r>
          </w:p>
        </w:tc>
        <w:tc>
          <w:tcPr>
            <w:tcW w:w="1276" w:type="dxa"/>
            <w:vAlign w:val="center"/>
          </w:tcPr>
          <w:p w14:paraId="4B770F2E" w14:textId="77777777" w:rsidR="00BF399A" w:rsidRDefault="00BF399A" w:rsidP="00D308D9">
            <w:pPr>
              <w:jc w:val="right"/>
            </w:pPr>
            <w:r>
              <w:t>78138</w:t>
            </w:r>
          </w:p>
        </w:tc>
        <w:tc>
          <w:tcPr>
            <w:tcW w:w="2693" w:type="dxa"/>
            <w:vAlign w:val="center"/>
          </w:tcPr>
          <w:p w14:paraId="318E4662" w14:textId="77777777" w:rsidR="00BF399A" w:rsidRDefault="00BF399A" w:rsidP="00D308D9">
            <w:pPr>
              <w:jc w:val="right"/>
              <w:rPr>
                <w:rFonts w:ascii="Calibri" w:hAnsi="Calibri"/>
                <w:color w:val="000000"/>
              </w:rPr>
            </w:pPr>
            <w:r>
              <w:rPr>
                <w:rFonts w:ascii="Calibri" w:hAnsi="Calibri"/>
                <w:color w:val="000000"/>
              </w:rPr>
              <w:t>0</w:t>
            </w:r>
          </w:p>
        </w:tc>
        <w:tc>
          <w:tcPr>
            <w:tcW w:w="1134" w:type="dxa"/>
            <w:vAlign w:val="center"/>
          </w:tcPr>
          <w:p w14:paraId="3A2EDBF1" w14:textId="77777777" w:rsidR="00BF399A" w:rsidRDefault="00BF399A" w:rsidP="00D308D9">
            <w:pPr>
              <w:jc w:val="right"/>
              <w:rPr>
                <w:rFonts w:ascii="Calibri" w:hAnsi="Calibri"/>
                <w:color w:val="000000"/>
              </w:rPr>
            </w:pPr>
            <w:r>
              <w:rPr>
                <w:rFonts w:ascii="Calibri" w:hAnsi="Calibri"/>
                <w:color w:val="000000"/>
              </w:rPr>
              <w:t>0</w:t>
            </w:r>
          </w:p>
        </w:tc>
        <w:tc>
          <w:tcPr>
            <w:tcW w:w="1796" w:type="dxa"/>
            <w:vAlign w:val="center"/>
          </w:tcPr>
          <w:p w14:paraId="32B88B30" w14:textId="77777777" w:rsidR="00BF399A" w:rsidRDefault="00BF399A" w:rsidP="00D308D9">
            <w:pPr>
              <w:jc w:val="right"/>
            </w:pPr>
            <w:r>
              <w:t>(78137, 78139)</w:t>
            </w:r>
          </w:p>
        </w:tc>
      </w:tr>
      <w:tr w:rsidR="00BF399A" w14:paraId="39DF5F48" w14:textId="77777777" w:rsidTr="00D308D9">
        <w:tc>
          <w:tcPr>
            <w:tcW w:w="1560" w:type="dxa"/>
            <w:hideMark/>
          </w:tcPr>
          <w:p w14:paraId="2E245E65" w14:textId="77777777" w:rsidR="00BF399A" w:rsidRDefault="00BF399A" w:rsidP="00D308D9">
            <w:r>
              <w:t>Rent free</w:t>
            </w:r>
          </w:p>
        </w:tc>
        <w:tc>
          <w:tcPr>
            <w:tcW w:w="1837" w:type="dxa"/>
            <w:vAlign w:val="center"/>
          </w:tcPr>
          <w:p w14:paraId="4446089B" w14:textId="77777777" w:rsidR="00BF399A" w:rsidRDefault="00BF399A" w:rsidP="00D308D9">
            <w:pPr>
              <w:jc w:val="right"/>
              <w:rPr>
                <w:rFonts w:ascii="Calibri" w:hAnsi="Calibri"/>
                <w:color w:val="000000"/>
              </w:rPr>
            </w:pPr>
            <w:r>
              <w:rPr>
                <w:rFonts w:ascii="Calibri" w:hAnsi="Calibri"/>
                <w:color w:val="000000"/>
              </w:rPr>
              <w:t>3847</w:t>
            </w:r>
          </w:p>
        </w:tc>
        <w:tc>
          <w:tcPr>
            <w:tcW w:w="1276" w:type="dxa"/>
            <w:vAlign w:val="center"/>
          </w:tcPr>
          <w:p w14:paraId="4DC4F9D3" w14:textId="77777777" w:rsidR="00BF399A" w:rsidRDefault="00BF399A" w:rsidP="00D308D9">
            <w:pPr>
              <w:jc w:val="right"/>
            </w:pPr>
            <w:r>
              <w:t>3847</w:t>
            </w:r>
          </w:p>
        </w:tc>
        <w:tc>
          <w:tcPr>
            <w:tcW w:w="2693" w:type="dxa"/>
            <w:vAlign w:val="center"/>
          </w:tcPr>
          <w:p w14:paraId="18B0F37D" w14:textId="77777777" w:rsidR="00BF399A" w:rsidRDefault="00BF399A" w:rsidP="00D308D9">
            <w:pPr>
              <w:jc w:val="right"/>
              <w:rPr>
                <w:rFonts w:ascii="Calibri" w:hAnsi="Calibri"/>
                <w:color w:val="000000"/>
              </w:rPr>
            </w:pPr>
            <w:r>
              <w:rPr>
                <w:rFonts w:ascii="Calibri" w:hAnsi="Calibri"/>
                <w:color w:val="000000"/>
              </w:rPr>
              <w:t>0</w:t>
            </w:r>
          </w:p>
        </w:tc>
        <w:tc>
          <w:tcPr>
            <w:tcW w:w="1134" w:type="dxa"/>
            <w:vAlign w:val="center"/>
          </w:tcPr>
          <w:p w14:paraId="5779C219" w14:textId="77777777" w:rsidR="00BF399A" w:rsidRDefault="00BF399A" w:rsidP="00D308D9">
            <w:pPr>
              <w:jc w:val="right"/>
              <w:rPr>
                <w:rFonts w:ascii="Calibri" w:hAnsi="Calibri"/>
                <w:color w:val="000000"/>
              </w:rPr>
            </w:pPr>
            <w:r>
              <w:rPr>
                <w:rFonts w:ascii="Calibri" w:hAnsi="Calibri"/>
                <w:color w:val="000000"/>
              </w:rPr>
              <w:t>0</w:t>
            </w:r>
          </w:p>
        </w:tc>
        <w:tc>
          <w:tcPr>
            <w:tcW w:w="1796" w:type="dxa"/>
            <w:vAlign w:val="center"/>
          </w:tcPr>
          <w:p w14:paraId="7518220E" w14:textId="77777777" w:rsidR="00BF399A" w:rsidRDefault="00BF399A" w:rsidP="00D308D9">
            <w:pPr>
              <w:jc w:val="right"/>
            </w:pPr>
            <w:r>
              <w:t>(3846, 3848)</w:t>
            </w:r>
          </w:p>
        </w:tc>
      </w:tr>
      <w:tr w:rsidR="00BF399A" w14:paraId="437F1E02" w14:textId="77777777" w:rsidTr="00D308D9">
        <w:tc>
          <w:tcPr>
            <w:tcW w:w="1560" w:type="dxa"/>
            <w:hideMark/>
          </w:tcPr>
          <w:p w14:paraId="49573216" w14:textId="77777777" w:rsidR="00BF399A" w:rsidRDefault="00BF399A" w:rsidP="00D308D9">
            <w:pPr>
              <w:rPr>
                <w:b/>
              </w:rPr>
            </w:pPr>
            <w:r>
              <w:rPr>
                <w:b/>
              </w:rPr>
              <w:t>Household size</w:t>
            </w:r>
          </w:p>
        </w:tc>
        <w:tc>
          <w:tcPr>
            <w:tcW w:w="1837" w:type="dxa"/>
            <w:vAlign w:val="center"/>
          </w:tcPr>
          <w:p w14:paraId="3129432B" w14:textId="77777777" w:rsidR="00BF399A" w:rsidRDefault="00BF399A" w:rsidP="00D308D9">
            <w:pPr>
              <w:jc w:val="right"/>
            </w:pPr>
          </w:p>
        </w:tc>
        <w:tc>
          <w:tcPr>
            <w:tcW w:w="1276" w:type="dxa"/>
            <w:vAlign w:val="center"/>
          </w:tcPr>
          <w:p w14:paraId="1702A5E9" w14:textId="77777777" w:rsidR="00BF399A" w:rsidRDefault="00BF399A" w:rsidP="00D308D9">
            <w:pPr>
              <w:jc w:val="right"/>
            </w:pPr>
          </w:p>
        </w:tc>
        <w:tc>
          <w:tcPr>
            <w:tcW w:w="2693" w:type="dxa"/>
            <w:vAlign w:val="center"/>
          </w:tcPr>
          <w:p w14:paraId="5BA39497" w14:textId="77777777" w:rsidR="00BF399A" w:rsidRDefault="00BF399A" w:rsidP="00D308D9">
            <w:pPr>
              <w:jc w:val="right"/>
            </w:pPr>
          </w:p>
        </w:tc>
        <w:tc>
          <w:tcPr>
            <w:tcW w:w="1134" w:type="dxa"/>
            <w:vAlign w:val="center"/>
          </w:tcPr>
          <w:p w14:paraId="2D88407F" w14:textId="77777777" w:rsidR="00BF399A" w:rsidRDefault="00BF399A" w:rsidP="00D308D9">
            <w:pPr>
              <w:jc w:val="right"/>
            </w:pPr>
          </w:p>
        </w:tc>
        <w:tc>
          <w:tcPr>
            <w:tcW w:w="1796" w:type="dxa"/>
            <w:vAlign w:val="center"/>
          </w:tcPr>
          <w:p w14:paraId="5F1F013B" w14:textId="77777777" w:rsidR="00BF399A" w:rsidRDefault="00BF399A" w:rsidP="00D308D9">
            <w:pPr>
              <w:jc w:val="right"/>
            </w:pPr>
          </w:p>
        </w:tc>
      </w:tr>
      <w:tr w:rsidR="00BF399A" w14:paraId="0B40A45F" w14:textId="77777777" w:rsidTr="00D308D9">
        <w:tc>
          <w:tcPr>
            <w:tcW w:w="1560" w:type="dxa"/>
            <w:hideMark/>
          </w:tcPr>
          <w:p w14:paraId="7EAF09F1" w14:textId="77777777" w:rsidR="00BF399A" w:rsidRDefault="00BF399A" w:rsidP="00D308D9">
            <w:r>
              <w:t>1</w:t>
            </w:r>
          </w:p>
        </w:tc>
        <w:tc>
          <w:tcPr>
            <w:tcW w:w="1837" w:type="dxa"/>
            <w:vAlign w:val="center"/>
          </w:tcPr>
          <w:p w14:paraId="1C1D4CE0" w14:textId="77777777" w:rsidR="00BF399A" w:rsidRDefault="00BF399A" w:rsidP="00D308D9">
            <w:pPr>
              <w:jc w:val="right"/>
              <w:rPr>
                <w:rFonts w:ascii="Calibri" w:hAnsi="Calibri"/>
                <w:color w:val="000000"/>
                <w:lang w:val="en-GB"/>
              </w:rPr>
            </w:pPr>
            <w:r>
              <w:rPr>
                <w:rFonts w:ascii="Calibri" w:hAnsi="Calibri"/>
                <w:color w:val="000000"/>
              </w:rPr>
              <w:t>81734</w:t>
            </w:r>
          </w:p>
        </w:tc>
        <w:tc>
          <w:tcPr>
            <w:tcW w:w="1276" w:type="dxa"/>
            <w:vAlign w:val="center"/>
          </w:tcPr>
          <w:p w14:paraId="2B1AFDA0" w14:textId="77777777" w:rsidR="00BF399A" w:rsidRDefault="00BF399A" w:rsidP="00D308D9">
            <w:pPr>
              <w:jc w:val="right"/>
              <w:rPr>
                <w:rFonts w:ascii="Calibri" w:hAnsi="Calibri"/>
                <w:color w:val="000000"/>
                <w:lang w:val="en-GB"/>
              </w:rPr>
            </w:pPr>
            <w:r>
              <w:rPr>
                <w:rFonts w:ascii="Calibri" w:hAnsi="Calibri"/>
                <w:color w:val="000000"/>
              </w:rPr>
              <w:t>81682</w:t>
            </w:r>
          </w:p>
        </w:tc>
        <w:tc>
          <w:tcPr>
            <w:tcW w:w="2693" w:type="dxa"/>
            <w:vAlign w:val="center"/>
          </w:tcPr>
          <w:p w14:paraId="4580AB35" w14:textId="77777777" w:rsidR="00BF399A" w:rsidRDefault="00BF399A" w:rsidP="00D308D9">
            <w:pPr>
              <w:jc w:val="right"/>
              <w:rPr>
                <w:rFonts w:ascii="Calibri" w:hAnsi="Calibri"/>
                <w:color w:val="000000"/>
                <w:lang w:val="en-GB"/>
              </w:rPr>
            </w:pPr>
            <w:r>
              <w:rPr>
                <w:rFonts w:ascii="Calibri" w:hAnsi="Calibri"/>
                <w:color w:val="000000"/>
              </w:rPr>
              <w:t>97</w:t>
            </w:r>
          </w:p>
        </w:tc>
        <w:tc>
          <w:tcPr>
            <w:tcW w:w="1134" w:type="dxa"/>
            <w:vAlign w:val="center"/>
          </w:tcPr>
          <w:p w14:paraId="7434E00D" w14:textId="77777777" w:rsidR="00BF399A" w:rsidRDefault="00BF399A" w:rsidP="00D308D9">
            <w:pPr>
              <w:jc w:val="right"/>
              <w:rPr>
                <w:rFonts w:ascii="Calibri" w:hAnsi="Calibri"/>
                <w:color w:val="000000"/>
              </w:rPr>
            </w:pPr>
            <w:r>
              <w:rPr>
                <w:rFonts w:ascii="Calibri" w:hAnsi="Calibri"/>
                <w:color w:val="000000"/>
              </w:rPr>
              <w:t>0.0012</w:t>
            </w:r>
          </w:p>
        </w:tc>
        <w:tc>
          <w:tcPr>
            <w:tcW w:w="1796" w:type="dxa"/>
            <w:vAlign w:val="center"/>
          </w:tcPr>
          <w:p w14:paraId="2B843DB9" w14:textId="77777777" w:rsidR="00BF399A" w:rsidRPr="000D7558" w:rsidRDefault="00BF399A" w:rsidP="00D308D9">
            <w:pPr>
              <w:jc w:val="right"/>
            </w:pPr>
            <w:r w:rsidRPr="000D7558">
              <w:t>(81</w:t>
            </w:r>
            <w:r>
              <w:t>747</w:t>
            </w:r>
            <w:r w:rsidRPr="000D7558">
              <w:t>,</w:t>
            </w:r>
            <w:r>
              <w:t xml:space="preserve"> </w:t>
            </w:r>
            <w:r w:rsidRPr="000D7558">
              <w:t>81</w:t>
            </w:r>
            <w:r>
              <w:t>806</w:t>
            </w:r>
            <w:r w:rsidRPr="000D7558">
              <w:t>)</w:t>
            </w:r>
          </w:p>
        </w:tc>
      </w:tr>
      <w:tr w:rsidR="00BF399A" w14:paraId="0AEDDAB1" w14:textId="77777777" w:rsidTr="00D308D9">
        <w:tc>
          <w:tcPr>
            <w:tcW w:w="1560" w:type="dxa"/>
            <w:hideMark/>
          </w:tcPr>
          <w:p w14:paraId="49EE92E6" w14:textId="77777777" w:rsidR="00BF399A" w:rsidRDefault="00BF399A" w:rsidP="00D308D9">
            <w:r>
              <w:t>2</w:t>
            </w:r>
          </w:p>
        </w:tc>
        <w:tc>
          <w:tcPr>
            <w:tcW w:w="1837" w:type="dxa"/>
            <w:vAlign w:val="center"/>
          </w:tcPr>
          <w:p w14:paraId="608658D8" w14:textId="77777777" w:rsidR="00BF399A" w:rsidRDefault="00BF399A" w:rsidP="00D308D9">
            <w:pPr>
              <w:jc w:val="right"/>
              <w:rPr>
                <w:rFonts w:ascii="Calibri" w:hAnsi="Calibri"/>
                <w:color w:val="000000"/>
              </w:rPr>
            </w:pPr>
            <w:r>
              <w:rPr>
                <w:rFonts w:ascii="Calibri" w:hAnsi="Calibri"/>
                <w:color w:val="000000"/>
              </w:rPr>
              <w:t>107080</w:t>
            </w:r>
          </w:p>
        </w:tc>
        <w:tc>
          <w:tcPr>
            <w:tcW w:w="1276" w:type="dxa"/>
            <w:vAlign w:val="center"/>
          </w:tcPr>
          <w:p w14:paraId="1D0B47C3" w14:textId="77777777" w:rsidR="00BF399A" w:rsidRDefault="00BF399A" w:rsidP="00D308D9">
            <w:pPr>
              <w:jc w:val="right"/>
              <w:rPr>
                <w:rFonts w:ascii="Calibri" w:hAnsi="Calibri"/>
                <w:color w:val="000000"/>
              </w:rPr>
            </w:pPr>
            <w:r>
              <w:rPr>
                <w:rFonts w:ascii="Calibri" w:hAnsi="Calibri"/>
                <w:color w:val="000000"/>
              </w:rPr>
              <w:t>107079</w:t>
            </w:r>
          </w:p>
        </w:tc>
        <w:tc>
          <w:tcPr>
            <w:tcW w:w="2693" w:type="dxa"/>
            <w:vAlign w:val="center"/>
          </w:tcPr>
          <w:p w14:paraId="54CCCFE4" w14:textId="77777777" w:rsidR="00BF399A" w:rsidRDefault="00BF399A" w:rsidP="00D308D9">
            <w:pPr>
              <w:jc w:val="right"/>
              <w:rPr>
                <w:rFonts w:ascii="Calibri" w:hAnsi="Calibri"/>
                <w:color w:val="000000"/>
              </w:rPr>
            </w:pPr>
            <w:r>
              <w:rPr>
                <w:rFonts w:ascii="Calibri" w:hAnsi="Calibri"/>
                <w:color w:val="000000"/>
              </w:rPr>
              <w:t>2</w:t>
            </w:r>
          </w:p>
        </w:tc>
        <w:tc>
          <w:tcPr>
            <w:tcW w:w="1134" w:type="dxa"/>
            <w:vAlign w:val="center"/>
          </w:tcPr>
          <w:p w14:paraId="505045AE" w14:textId="77777777" w:rsidR="00BF399A" w:rsidRDefault="00BF399A" w:rsidP="00D308D9">
            <w:pPr>
              <w:jc w:val="right"/>
              <w:rPr>
                <w:rFonts w:ascii="Calibri" w:hAnsi="Calibri"/>
                <w:color w:val="000000"/>
              </w:rPr>
            </w:pPr>
            <w:r>
              <w:rPr>
                <w:rFonts w:ascii="Calibri" w:hAnsi="Calibri"/>
                <w:color w:val="000000"/>
              </w:rPr>
              <w:t>0</w:t>
            </w:r>
          </w:p>
        </w:tc>
        <w:tc>
          <w:tcPr>
            <w:tcW w:w="1796" w:type="dxa"/>
            <w:vAlign w:val="center"/>
          </w:tcPr>
          <w:p w14:paraId="328DF49C" w14:textId="77777777" w:rsidR="00BF399A" w:rsidRPr="000D7558" w:rsidRDefault="00BF399A" w:rsidP="00D308D9">
            <w:pPr>
              <w:jc w:val="right"/>
            </w:pPr>
            <w:r w:rsidRPr="000D7558">
              <w:t>(10707</w:t>
            </w:r>
            <w:r>
              <w:t>8</w:t>
            </w:r>
            <w:r w:rsidRPr="000D7558">
              <w:t>,</w:t>
            </w:r>
            <w:r>
              <w:t xml:space="preserve"> </w:t>
            </w:r>
            <w:r w:rsidRPr="000D7558">
              <w:t>10708</w:t>
            </w:r>
            <w:r>
              <w:t>9</w:t>
            </w:r>
            <w:r w:rsidRPr="000D7558">
              <w:t>)</w:t>
            </w:r>
          </w:p>
        </w:tc>
      </w:tr>
      <w:tr w:rsidR="00BF399A" w14:paraId="6F7E6812" w14:textId="77777777" w:rsidTr="00D308D9">
        <w:tc>
          <w:tcPr>
            <w:tcW w:w="1560" w:type="dxa"/>
            <w:hideMark/>
          </w:tcPr>
          <w:p w14:paraId="61EB7FDB" w14:textId="77777777" w:rsidR="00BF399A" w:rsidRDefault="00BF399A" w:rsidP="00D308D9">
            <w:r>
              <w:t>3</w:t>
            </w:r>
          </w:p>
        </w:tc>
        <w:tc>
          <w:tcPr>
            <w:tcW w:w="1837" w:type="dxa"/>
            <w:vAlign w:val="center"/>
          </w:tcPr>
          <w:p w14:paraId="2294E04F" w14:textId="77777777" w:rsidR="00BF399A" w:rsidRDefault="00BF399A" w:rsidP="00D308D9">
            <w:pPr>
              <w:jc w:val="right"/>
              <w:rPr>
                <w:rFonts w:ascii="Calibri" w:hAnsi="Calibri"/>
                <w:color w:val="000000"/>
              </w:rPr>
            </w:pPr>
            <w:r>
              <w:rPr>
                <w:rFonts w:ascii="Calibri" w:hAnsi="Calibri"/>
                <w:color w:val="000000"/>
              </w:rPr>
              <w:t>44941</w:t>
            </w:r>
          </w:p>
        </w:tc>
        <w:tc>
          <w:tcPr>
            <w:tcW w:w="1276" w:type="dxa"/>
            <w:vAlign w:val="center"/>
          </w:tcPr>
          <w:p w14:paraId="446DF1D1" w14:textId="77777777" w:rsidR="00BF399A" w:rsidRDefault="00BF399A" w:rsidP="00D308D9">
            <w:pPr>
              <w:jc w:val="right"/>
              <w:rPr>
                <w:rFonts w:ascii="Calibri" w:hAnsi="Calibri"/>
                <w:color w:val="000000"/>
              </w:rPr>
            </w:pPr>
            <w:r>
              <w:rPr>
                <w:rFonts w:ascii="Calibri" w:hAnsi="Calibri"/>
                <w:color w:val="000000"/>
              </w:rPr>
              <w:t>44841</w:t>
            </w:r>
          </w:p>
        </w:tc>
        <w:tc>
          <w:tcPr>
            <w:tcW w:w="2693" w:type="dxa"/>
            <w:vAlign w:val="center"/>
          </w:tcPr>
          <w:p w14:paraId="48E2C4D4" w14:textId="77777777" w:rsidR="00BF399A" w:rsidRDefault="00BF399A" w:rsidP="00D308D9">
            <w:pPr>
              <w:jc w:val="right"/>
              <w:rPr>
                <w:rFonts w:ascii="Calibri" w:hAnsi="Calibri"/>
                <w:color w:val="000000"/>
              </w:rPr>
            </w:pPr>
            <w:r>
              <w:rPr>
                <w:rFonts w:ascii="Calibri" w:hAnsi="Calibri"/>
                <w:color w:val="000000"/>
              </w:rPr>
              <w:t>13</w:t>
            </w:r>
          </w:p>
        </w:tc>
        <w:tc>
          <w:tcPr>
            <w:tcW w:w="1134" w:type="dxa"/>
            <w:vAlign w:val="center"/>
          </w:tcPr>
          <w:p w14:paraId="3EA5D40E" w14:textId="77777777" w:rsidR="00BF399A" w:rsidRDefault="00BF399A" w:rsidP="00D308D9">
            <w:pPr>
              <w:jc w:val="right"/>
              <w:rPr>
                <w:rFonts w:ascii="Calibri" w:hAnsi="Calibri"/>
                <w:color w:val="000000"/>
              </w:rPr>
            </w:pPr>
            <w:r>
              <w:rPr>
                <w:rFonts w:ascii="Calibri" w:hAnsi="Calibri"/>
                <w:color w:val="000000"/>
              </w:rPr>
              <w:t>0.0001</w:t>
            </w:r>
          </w:p>
        </w:tc>
        <w:tc>
          <w:tcPr>
            <w:tcW w:w="1796" w:type="dxa"/>
            <w:vAlign w:val="center"/>
          </w:tcPr>
          <w:p w14:paraId="7AC4EB28" w14:textId="77777777" w:rsidR="00BF399A" w:rsidRPr="000D7558" w:rsidRDefault="00BF399A" w:rsidP="00D308D9">
            <w:pPr>
              <w:jc w:val="right"/>
            </w:pPr>
            <w:r w:rsidRPr="000D7558">
              <w:t>(44</w:t>
            </w:r>
            <w:r>
              <w:t>841</w:t>
            </w:r>
            <w:r w:rsidRPr="000D7558">
              <w:t>,</w:t>
            </w:r>
            <w:r>
              <w:t xml:space="preserve"> </w:t>
            </w:r>
            <w:r w:rsidRPr="000D7558">
              <w:t>44</w:t>
            </w:r>
            <w:r>
              <w:t>889</w:t>
            </w:r>
            <w:r w:rsidRPr="000D7558">
              <w:t>)</w:t>
            </w:r>
          </w:p>
        </w:tc>
      </w:tr>
      <w:tr w:rsidR="00BF399A" w14:paraId="32291C47" w14:textId="77777777" w:rsidTr="00D308D9">
        <w:tc>
          <w:tcPr>
            <w:tcW w:w="1560" w:type="dxa"/>
            <w:hideMark/>
          </w:tcPr>
          <w:p w14:paraId="5F6B7532" w14:textId="77777777" w:rsidR="00BF399A" w:rsidRDefault="00BF399A" w:rsidP="00D308D9">
            <w:r>
              <w:t>4</w:t>
            </w:r>
          </w:p>
        </w:tc>
        <w:tc>
          <w:tcPr>
            <w:tcW w:w="1837" w:type="dxa"/>
            <w:vAlign w:val="center"/>
          </w:tcPr>
          <w:p w14:paraId="387BE657" w14:textId="77777777" w:rsidR="00BF399A" w:rsidRDefault="00BF399A" w:rsidP="00D308D9">
            <w:pPr>
              <w:jc w:val="right"/>
              <w:rPr>
                <w:rFonts w:ascii="Calibri" w:hAnsi="Calibri"/>
                <w:color w:val="000000"/>
              </w:rPr>
            </w:pPr>
            <w:r>
              <w:rPr>
                <w:rFonts w:ascii="Calibri" w:hAnsi="Calibri"/>
                <w:color w:val="000000"/>
              </w:rPr>
              <w:t>36182</w:t>
            </w:r>
          </w:p>
        </w:tc>
        <w:tc>
          <w:tcPr>
            <w:tcW w:w="1276" w:type="dxa"/>
            <w:vAlign w:val="center"/>
          </w:tcPr>
          <w:p w14:paraId="04407605" w14:textId="77777777" w:rsidR="00BF399A" w:rsidRDefault="00BF399A" w:rsidP="00D308D9">
            <w:pPr>
              <w:jc w:val="right"/>
              <w:rPr>
                <w:rFonts w:ascii="Calibri" w:hAnsi="Calibri"/>
                <w:color w:val="000000"/>
              </w:rPr>
            </w:pPr>
            <w:r>
              <w:rPr>
                <w:rFonts w:ascii="Calibri" w:hAnsi="Calibri"/>
                <w:color w:val="000000"/>
              </w:rPr>
              <w:t>36182</w:t>
            </w:r>
          </w:p>
        </w:tc>
        <w:tc>
          <w:tcPr>
            <w:tcW w:w="2693" w:type="dxa"/>
            <w:vAlign w:val="center"/>
          </w:tcPr>
          <w:p w14:paraId="37FC4C33" w14:textId="77777777" w:rsidR="00BF399A" w:rsidRDefault="00BF399A" w:rsidP="00D308D9">
            <w:pPr>
              <w:jc w:val="right"/>
              <w:rPr>
                <w:rFonts w:ascii="Calibri" w:hAnsi="Calibri"/>
                <w:color w:val="000000"/>
              </w:rPr>
            </w:pPr>
            <w:r>
              <w:rPr>
                <w:rFonts w:ascii="Calibri" w:hAnsi="Calibri"/>
                <w:color w:val="000000"/>
              </w:rPr>
              <w:t>-1</w:t>
            </w:r>
          </w:p>
        </w:tc>
        <w:tc>
          <w:tcPr>
            <w:tcW w:w="1134" w:type="dxa"/>
            <w:vAlign w:val="center"/>
          </w:tcPr>
          <w:p w14:paraId="650404B6" w14:textId="77777777" w:rsidR="00BF399A" w:rsidRDefault="00BF399A" w:rsidP="00D308D9">
            <w:pPr>
              <w:jc w:val="right"/>
              <w:rPr>
                <w:rFonts w:ascii="Calibri" w:hAnsi="Calibri"/>
                <w:color w:val="000000"/>
              </w:rPr>
            </w:pPr>
            <w:r>
              <w:rPr>
                <w:rFonts w:ascii="Calibri" w:hAnsi="Calibri"/>
                <w:color w:val="000000"/>
              </w:rPr>
              <w:t>0</w:t>
            </w:r>
          </w:p>
        </w:tc>
        <w:tc>
          <w:tcPr>
            <w:tcW w:w="1796" w:type="dxa"/>
            <w:vAlign w:val="center"/>
          </w:tcPr>
          <w:p w14:paraId="66359F32" w14:textId="77777777" w:rsidR="00BF399A" w:rsidRPr="000D7558" w:rsidRDefault="00BF399A" w:rsidP="00D308D9">
            <w:pPr>
              <w:jc w:val="right"/>
            </w:pPr>
            <w:r w:rsidRPr="000D7558">
              <w:t>(361</w:t>
            </w:r>
            <w:r>
              <w:t>79</w:t>
            </w:r>
            <w:r w:rsidRPr="000D7558">
              <w:t>,</w:t>
            </w:r>
            <w:r>
              <w:t xml:space="preserve"> </w:t>
            </w:r>
            <w:r w:rsidRPr="000D7558">
              <w:t>36</w:t>
            </w:r>
            <w:r>
              <w:t>183</w:t>
            </w:r>
            <w:r w:rsidRPr="000D7558">
              <w:t>)</w:t>
            </w:r>
          </w:p>
        </w:tc>
      </w:tr>
      <w:tr w:rsidR="00BF399A" w14:paraId="35FDB1B3" w14:textId="77777777" w:rsidTr="00D308D9">
        <w:tc>
          <w:tcPr>
            <w:tcW w:w="1560" w:type="dxa"/>
            <w:hideMark/>
          </w:tcPr>
          <w:p w14:paraId="6E2EA4D6" w14:textId="77777777" w:rsidR="00BF399A" w:rsidRDefault="00BF399A" w:rsidP="00D308D9">
            <w:r>
              <w:t>5+</w:t>
            </w:r>
          </w:p>
        </w:tc>
        <w:tc>
          <w:tcPr>
            <w:tcW w:w="1837" w:type="dxa"/>
            <w:vAlign w:val="center"/>
          </w:tcPr>
          <w:p w14:paraId="0E7685CE" w14:textId="77777777" w:rsidR="00BF399A" w:rsidRDefault="00BF399A" w:rsidP="00D308D9">
            <w:pPr>
              <w:jc w:val="right"/>
              <w:rPr>
                <w:rFonts w:ascii="Calibri" w:hAnsi="Calibri"/>
                <w:color w:val="000000"/>
              </w:rPr>
            </w:pPr>
            <w:r>
              <w:rPr>
                <w:rFonts w:ascii="Calibri" w:hAnsi="Calibri"/>
                <w:color w:val="000000"/>
              </w:rPr>
              <w:t>14025</w:t>
            </w:r>
          </w:p>
        </w:tc>
        <w:tc>
          <w:tcPr>
            <w:tcW w:w="1276" w:type="dxa"/>
            <w:vAlign w:val="center"/>
          </w:tcPr>
          <w:p w14:paraId="73F7DE37" w14:textId="77777777" w:rsidR="00BF399A" w:rsidRDefault="00BF399A" w:rsidP="00D308D9">
            <w:pPr>
              <w:jc w:val="right"/>
              <w:rPr>
                <w:rFonts w:ascii="Calibri" w:hAnsi="Calibri"/>
                <w:color w:val="000000"/>
              </w:rPr>
            </w:pPr>
            <w:r>
              <w:rPr>
                <w:rFonts w:ascii="Calibri" w:hAnsi="Calibri"/>
                <w:color w:val="000000"/>
              </w:rPr>
              <w:t>14178</w:t>
            </w:r>
          </w:p>
        </w:tc>
        <w:tc>
          <w:tcPr>
            <w:tcW w:w="2693" w:type="dxa"/>
            <w:vAlign w:val="center"/>
          </w:tcPr>
          <w:p w14:paraId="0714CE88" w14:textId="77777777" w:rsidR="00BF399A" w:rsidRDefault="00BF399A" w:rsidP="00D308D9">
            <w:pPr>
              <w:jc w:val="right"/>
              <w:rPr>
                <w:rFonts w:ascii="Calibri" w:hAnsi="Calibri"/>
                <w:color w:val="000000"/>
              </w:rPr>
            </w:pPr>
            <w:r>
              <w:rPr>
                <w:rFonts w:ascii="Calibri" w:hAnsi="Calibri"/>
                <w:color w:val="000000"/>
              </w:rPr>
              <w:t>-111</w:t>
            </w:r>
          </w:p>
        </w:tc>
        <w:tc>
          <w:tcPr>
            <w:tcW w:w="1134" w:type="dxa"/>
            <w:vAlign w:val="center"/>
          </w:tcPr>
          <w:p w14:paraId="4443F645" w14:textId="77777777" w:rsidR="00BF399A" w:rsidRDefault="00BF399A" w:rsidP="00D308D9">
            <w:pPr>
              <w:jc w:val="right"/>
              <w:rPr>
                <w:rFonts w:ascii="Calibri" w:hAnsi="Calibri"/>
                <w:color w:val="000000"/>
              </w:rPr>
            </w:pPr>
            <w:r>
              <w:rPr>
                <w:rFonts w:ascii="Calibri" w:hAnsi="Calibri"/>
                <w:color w:val="000000"/>
              </w:rPr>
              <w:t>-0.0078</w:t>
            </w:r>
          </w:p>
        </w:tc>
        <w:tc>
          <w:tcPr>
            <w:tcW w:w="1796" w:type="dxa"/>
            <w:vAlign w:val="center"/>
          </w:tcPr>
          <w:p w14:paraId="7E4B9E1D" w14:textId="77777777" w:rsidR="00BF399A" w:rsidRDefault="00BF399A" w:rsidP="00D308D9">
            <w:pPr>
              <w:jc w:val="right"/>
            </w:pPr>
            <w:r w:rsidRPr="000D7558">
              <w:t>(1</w:t>
            </w:r>
            <w:r>
              <w:t>4039</w:t>
            </w:r>
            <w:r w:rsidRPr="000D7558">
              <w:t>,</w:t>
            </w:r>
            <w:r>
              <w:t xml:space="preserve"> </w:t>
            </w:r>
            <w:r w:rsidRPr="000D7558">
              <w:t>1</w:t>
            </w:r>
            <w:r>
              <w:t>4092</w:t>
            </w:r>
            <w:r w:rsidRPr="000D7558">
              <w:t>)</w:t>
            </w:r>
          </w:p>
        </w:tc>
      </w:tr>
      <w:tr w:rsidR="00BF399A" w14:paraId="2F8A5D72" w14:textId="77777777" w:rsidTr="00D308D9">
        <w:tc>
          <w:tcPr>
            <w:tcW w:w="1560" w:type="dxa"/>
            <w:hideMark/>
          </w:tcPr>
          <w:p w14:paraId="609700E8" w14:textId="77777777" w:rsidR="00BF399A" w:rsidRDefault="00BF399A" w:rsidP="00D308D9">
            <w:pPr>
              <w:rPr>
                <w:b/>
              </w:rPr>
            </w:pPr>
            <w:r>
              <w:rPr>
                <w:b/>
              </w:rPr>
              <w:t>Hard to count INDEX (lower = easier to count)</w:t>
            </w:r>
          </w:p>
        </w:tc>
        <w:tc>
          <w:tcPr>
            <w:tcW w:w="1837" w:type="dxa"/>
            <w:vAlign w:val="center"/>
          </w:tcPr>
          <w:p w14:paraId="1C0ABF2B" w14:textId="77777777" w:rsidR="00BF399A" w:rsidRDefault="00BF399A" w:rsidP="00D308D9">
            <w:pPr>
              <w:jc w:val="right"/>
            </w:pPr>
          </w:p>
        </w:tc>
        <w:tc>
          <w:tcPr>
            <w:tcW w:w="1276" w:type="dxa"/>
            <w:vAlign w:val="center"/>
          </w:tcPr>
          <w:p w14:paraId="635483E6" w14:textId="77777777" w:rsidR="00BF399A" w:rsidRDefault="00BF399A" w:rsidP="00D308D9">
            <w:pPr>
              <w:jc w:val="right"/>
            </w:pPr>
          </w:p>
        </w:tc>
        <w:tc>
          <w:tcPr>
            <w:tcW w:w="2693" w:type="dxa"/>
            <w:vAlign w:val="center"/>
          </w:tcPr>
          <w:p w14:paraId="3C54FFFF" w14:textId="77777777" w:rsidR="00BF399A" w:rsidRDefault="00BF399A" w:rsidP="00D308D9">
            <w:pPr>
              <w:jc w:val="right"/>
            </w:pPr>
          </w:p>
        </w:tc>
        <w:tc>
          <w:tcPr>
            <w:tcW w:w="1134" w:type="dxa"/>
            <w:vAlign w:val="center"/>
          </w:tcPr>
          <w:p w14:paraId="23EDB3A1" w14:textId="77777777" w:rsidR="00BF399A" w:rsidRDefault="00BF399A" w:rsidP="00D308D9">
            <w:pPr>
              <w:jc w:val="right"/>
            </w:pPr>
          </w:p>
        </w:tc>
        <w:tc>
          <w:tcPr>
            <w:tcW w:w="1796" w:type="dxa"/>
            <w:vAlign w:val="center"/>
          </w:tcPr>
          <w:p w14:paraId="7110E0BB" w14:textId="77777777" w:rsidR="00BF399A" w:rsidRDefault="00BF399A" w:rsidP="00D308D9">
            <w:pPr>
              <w:jc w:val="right"/>
            </w:pPr>
          </w:p>
        </w:tc>
      </w:tr>
      <w:tr w:rsidR="00BF399A" w14:paraId="1A49C05B" w14:textId="77777777" w:rsidTr="00D308D9">
        <w:tc>
          <w:tcPr>
            <w:tcW w:w="1560" w:type="dxa"/>
            <w:hideMark/>
          </w:tcPr>
          <w:p w14:paraId="6A2FAD76" w14:textId="77777777" w:rsidR="00BF399A" w:rsidRDefault="00BF399A" w:rsidP="00D308D9">
            <w:r>
              <w:t>1</w:t>
            </w:r>
          </w:p>
        </w:tc>
        <w:tc>
          <w:tcPr>
            <w:tcW w:w="1837" w:type="dxa"/>
            <w:vAlign w:val="center"/>
          </w:tcPr>
          <w:p w14:paraId="421E79E9" w14:textId="77777777" w:rsidR="00BF399A" w:rsidRDefault="00BF399A" w:rsidP="00D308D9">
            <w:pPr>
              <w:jc w:val="right"/>
              <w:rPr>
                <w:rFonts w:ascii="Calibri" w:hAnsi="Calibri"/>
                <w:color w:val="000000"/>
                <w:lang w:val="en-GB"/>
              </w:rPr>
            </w:pPr>
            <w:r>
              <w:rPr>
                <w:rFonts w:ascii="Calibri" w:hAnsi="Calibri"/>
                <w:color w:val="000000"/>
              </w:rPr>
              <w:t>203797</w:t>
            </w:r>
          </w:p>
        </w:tc>
        <w:tc>
          <w:tcPr>
            <w:tcW w:w="1276" w:type="dxa"/>
            <w:vAlign w:val="center"/>
          </w:tcPr>
          <w:p w14:paraId="2637A4A8" w14:textId="77777777" w:rsidR="00BF399A" w:rsidRDefault="00BF399A" w:rsidP="00D308D9">
            <w:pPr>
              <w:jc w:val="right"/>
              <w:rPr>
                <w:rFonts w:ascii="Calibri" w:hAnsi="Calibri"/>
                <w:color w:val="000000"/>
                <w:lang w:val="en-GB"/>
              </w:rPr>
            </w:pPr>
            <w:r>
              <w:rPr>
                <w:rFonts w:ascii="Calibri" w:hAnsi="Calibri"/>
                <w:color w:val="000000"/>
              </w:rPr>
              <w:t>203797</w:t>
            </w:r>
          </w:p>
        </w:tc>
        <w:tc>
          <w:tcPr>
            <w:tcW w:w="2693" w:type="dxa"/>
            <w:vAlign w:val="center"/>
          </w:tcPr>
          <w:p w14:paraId="3FB47FAC" w14:textId="77777777" w:rsidR="00BF399A" w:rsidRDefault="00BF399A" w:rsidP="00D308D9">
            <w:pPr>
              <w:jc w:val="right"/>
              <w:rPr>
                <w:rFonts w:ascii="Calibri" w:hAnsi="Calibri"/>
                <w:color w:val="000000"/>
                <w:lang w:val="en-GB"/>
              </w:rPr>
            </w:pPr>
            <w:r>
              <w:rPr>
                <w:rFonts w:ascii="Calibri" w:hAnsi="Calibri"/>
                <w:color w:val="000000"/>
              </w:rPr>
              <w:t>0</w:t>
            </w:r>
          </w:p>
        </w:tc>
        <w:tc>
          <w:tcPr>
            <w:tcW w:w="1134" w:type="dxa"/>
            <w:vAlign w:val="center"/>
          </w:tcPr>
          <w:p w14:paraId="0A92BDA2" w14:textId="77777777" w:rsidR="00BF399A" w:rsidRDefault="00BF399A" w:rsidP="00D308D9">
            <w:pPr>
              <w:jc w:val="right"/>
              <w:rPr>
                <w:rFonts w:ascii="Calibri" w:hAnsi="Calibri"/>
                <w:color w:val="000000"/>
              </w:rPr>
            </w:pPr>
            <w:r>
              <w:rPr>
                <w:rFonts w:ascii="Calibri" w:hAnsi="Calibri"/>
                <w:color w:val="000000"/>
              </w:rPr>
              <w:t>0</w:t>
            </w:r>
          </w:p>
        </w:tc>
        <w:tc>
          <w:tcPr>
            <w:tcW w:w="1796" w:type="dxa"/>
            <w:vAlign w:val="center"/>
          </w:tcPr>
          <w:p w14:paraId="3A81A2A7" w14:textId="77777777" w:rsidR="00BF399A" w:rsidRDefault="00BF399A" w:rsidP="00D308D9">
            <w:pPr>
              <w:jc w:val="right"/>
            </w:pPr>
            <w:r>
              <w:t>(203797,203798)</w:t>
            </w:r>
          </w:p>
        </w:tc>
      </w:tr>
      <w:tr w:rsidR="00BF399A" w14:paraId="34514813" w14:textId="77777777" w:rsidTr="00D308D9">
        <w:tc>
          <w:tcPr>
            <w:tcW w:w="1560" w:type="dxa"/>
            <w:hideMark/>
          </w:tcPr>
          <w:p w14:paraId="1A6514D0" w14:textId="77777777" w:rsidR="00BF399A" w:rsidRDefault="00BF399A" w:rsidP="00D308D9">
            <w:r>
              <w:t>2</w:t>
            </w:r>
          </w:p>
        </w:tc>
        <w:tc>
          <w:tcPr>
            <w:tcW w:w="1837" w:type="dxa"/>
            <w:vAlign w:val="center"/>
          </w:tcPr>
          <w:p w14:paraId="32DC3A6B" w14:textId="77777777" w:rsidR="00BF399A" w:rsidRDefault="00BF399A" w:rsidP="00D308D9">
            <w:pPr>
              <w:jc w:val="right"/>
              <w:rPr>
                <w:rFonts w:ascii="Calibri" w:hAnsi="Calibri"/>
                <w:color w:val="000000"/>
              </w:rPr>
            </w:pPr>
            <w:r>
              <w:rPr>
                <w:rFonts w:ascii="Calibri" w:hAnsi="Calibri"/>
                <w:color w:val="000000"/>
              </w:rPr>
              <w:t>80165</w:t>
            </w:r>
          </w:p>
        </w:tc>
        <w:tc>
          <w:tcPr>
            <w:tcW w:w="1276" w:type="dxa"/>
            <w:vAlign w:val="center"/>
          </w:tcPr>
          <w:p w14:paraId="45B9DFF4" w14:textId="77777777" w:rsidR="00BF399A" w:rsidRDefault="00BF399A" w:rsidP="00D308D9">
            <w:pPr>
              <w:jc w:val="right"/>
              <w:rPr>
                <w:rFonts w:ascii="Calibri" w:hAnsi="Calibri"/>
                <w:color w:val="000000"/>
              </w:rPr>
            </w:pPr>
            <w:r>
              <w:rPr>
                <w:rFonts w:ascii="Calibri" w:hAnsi="Calibri"/>
                <w:color w:val="000000"/>
              </w:rPr>
              <w:t>80165</w:t>
            </w:r>
          </w:p>
        </w:tc>
        <w:tc>
          <w:tcPr>
            <w:tcW w:w="2693" w:type="dxa"/>
            <w:vAlign w:val="center"/>
          </w:tcPr>
          <w:p w14:paraId="06D17F9E" w14:textId="77777777" w:rsidR="00BF399A" w:rsidRDefault="00BF399A" w:rsidP="00D308D9">
            <w:pPr>
              <w:jc w:val="right"/>
              <w:rPr>
                <w:rFonts w:ascii="Calibri" w:hAnsi="Calibri"/>
                <w:color w:val="000000"/>
              </w:rPr>
            </w:pPr>
            <w:r>
              <w:rPr>
                <w:rFonts w:ascii="Calibri" w:hAnsi="Calibri"/>
                <w:color w:val="000000"/>
              </w:rPr>
              <w:t>0</w:t>
            </w:r>
          </w:p>
        </w:tc>
        <w:tc>
          <w:tcPr>
            <w:tcW w:w="1134" w:type="dxa"/>
            <w:vAlign w:val="center"/>
          </w:tcPr>
          <w:p w14:paraId="2E197A0F" w14:textId="77777777" w:rsidR="00BF399A" w:rsidRDefault="00BF399A" w:rsidP="00D308D9">
            <w:pPr>
              <w:jc w:val="right"/>
              <w:rPr>
                <w:rFonts w:ascii="Calibri" w:hAnsi="Calibri"/>
                <w:color w:val="000000"/>
              </w:rPr>
            </w:pPr>
            <w:r>
              <w:rPr>
                <w:rFonts w:ascii="Calibri" w:hAnsi="Calibri"/>
                <w:color w:val="000000"/>
              </w:rPr>
              <w:t>0</w:t>
            </w:r>
          </w:p>
        </w:tc>
        <w:tc>
          <w:tcPr>
            <w:tcW w:w="1796" w:type="dxa"/>
            <w:vAlign w:val="center"/>
          </w:tcPr>
          <w:p w14:paraId="226C6AFE" w14:textId="77777777" w:rsidR="00BF399A" w:rsidRDefault="00BF399A" w:rsidP="00D308D9">
            <w:pPr>
              <w:jc w:val="right"/>
            </w:pPr>
            <w:r>
              <w:t>(80164,80165)</w:t>
            </w:r>
          </w:p>
        </w:tc>
      </w:tr>
      <w:tr w:rsidR="00BF399A" w14:paraId="7009F6A4" w14:textId="77777777" w:rsidTr="00D308D9">
        <w:tc>
          <w:tcPr>
            <w:tcW w:w="1560" w:type="dxa"/>
            <w:hideMark/>
          </w:tcPr>
          <w:p w14:paraId="2D46C46A" w14:textId="77777777" w:rsidR="00BF399A" w:rsidRDefault="00BF399A" w:rsidP="00D308D9">
            <w:pPr>
              <w:rPr>
                <w:b/>
              </w:rPr>
            </w:pPr>
            <w:r>
              <w:rPr>
                <w:b/>
              </w:rPr>
              <w:t>Ethnicity</w:t>
            </w:r>
          </w:p>
        </w:tc>
        <w:tc>
          <w:tcPr>
            <w:tcW w:w="1837" w:type="dxa"/>
            <w:vAlign w:val="center"/>
          </w:tcPr>
          <w:p w14:paraId="0EE9E33D" w14:textId="77777777" w:rsidR="00BF399A" w:rsidRDefault="00BF399A" w:rsidP="00D308D9">
            <w:pPr>
              <w:jc w:val="right"/>
            </w:pPr>
          </w:p>
        </w:tc>
        <w:tc>
          <w:tcPr>
            <w:tcW w:w="1276" w:type="dxa"/>
            <w:vAlign w:val="center"/>
          </w:tcPr>
          <w:p w14:paraId="3DBF4EA3" w14:textId="77777777" w:rsidR="00BF399A" w:rsidRDefault="00BF399A" w:rsidP="00D308D9">
            <w:pPr>
              <w:jc w:val="right"/>
            </w:pPr>
          </w:p>
        </w:tc>
        <w:tc>
          <w:tcPr>
            <w:tcW w:w="2693" w:type="dxa"/>
            <w:vAlign w:val="center"/>
          </w:tcPr>
          <w:p w14:paraId="6F3894E2" w14:textId="77777777" w:rsidR="00BF399A" w:rsidRDefault="00BF399A" w:rsidP="00D308D9">
            <w:pPr>
              <w:jc w:val="right"/>
            </w:pPr>
          </w:p>
        </w:tc>
        <w:tc>
          <w:tcPr>
            <w:tcW w:w="1134" w:type="dxa"/>
            <w:vAlign w:val="center"/>
          </w:tcPr>
          <w:p w14:paraId="68B4A1DA" w14:textId="77777777" w:rsidR="00BF399A" w:rsidRDefault="00BF399A" w:rsidP="00D308D9">
            <w:pPr>
              <w:jc w:val="right"/>
            </w:pPr>
          </w:p>
        </w:tc>
        <w:tc>
          <w:tcPr>
            <w:tcW w:w="1796" w:type="dxa"/>
            <w:vAlign w:val="center"/>
          </w:tcPr>
          <w:p w14:paraId="74B21CDB" w14:textId="77777777" w:rsidR="00BF399A" w:rsidRDefault="00BF399A" w:rsidP="00D308D9">
            <w:pPr>
              <w:jc w:val="right"/>
            </w:pPr>
          </w:p>
        </w:tc>
      </w:tr>
      <w:tr w:rsidR="00BF399A" w14:paraId="2A26429D" w14:textId="77777777" w:rsidTr="00D308D9">
        <w:tc>
          <w:tcPr>
            <w:tcW w:w="1560" w:type="dxa"/>
            <w:hideMark/>
          </w:tcPr>
          <w:p w14:paraId="4947DFCC" w14:textId="77777777" w:rsidR="00BF399A" w:rsidRDefault="00BF399A" w:rsidP="00D308D9">
            <w:r>
              <w:t>White</w:t>
            </w:r>
          </w:p>
        </w:tc>
        <w:tc>
          <w:tcPr>
            <w:tcW w:w="1837" w:type="dxa"/>
            <w:vAlign w:val="center"/>
          </w:tcPr>
          <w:p w14:paraId="65617670" w14:textId="77777777" w:rsidR="00BF399A" w:rsidRDefault="00BF399A" w:rsidP="00D308D9">
            <w:pPr>
              <w:jc w:val="right"/>
              <w:rPr>
                <w:rFonts w:ascii="Calibri" w:hAnsi="Calibri"/>
                <w:color w:val="000000"/>
                <w:lang w:val="en-GB"/>
              </w:rPr>
            </w:pPr>
            <w:r>
              <w:rPr>
                <w:rFonts w:ascii="Calibri" w:hAnsi="Calibri"/>
                <w:color w:val="000000"/>
              </w:rPr>
              <w:t>631775</w:t>
            </w:r>
          </w:p>
        </w:tc>
        <w:tc>
          <w:tcPr>
            <w:tcW w:w="1276" w:type="dxa"/>
            <w:vAlign w:val="center"/>
          </w:tcPr>
          <w:p w14:paraId="6709A504" w14:textId="77777777" w:rsidR="00BF399A" w:rsidRDefault="00BF399A" w:rsidP="00D308D9">
            <w:pPr>
              <w:jc w:val="right"/>
              <w:rPr>
                <w:rFonts w:ascii="Calibri" w:hAnsi="Calibri"/>
                <w:color w:val="000000"/>
                <w:lang w:val="en-GB"/>
              </w:rPr>
            </w:pPr>
            <w:r>
              <w:rPr>
                <w:rFonts w:ascii="Calibri" w:hAnsi="Calibri"/>
                <w:color w:val="000000"/>
              </w:rPr>
              <w:t>631775</w:t>
            </w:r>
          </w:p>
        </w:tc>
        <w:tc>
          <w:tcPr>
            <w:tcW w:w="2693" w:type="dxa"/>
            <w:vAlign w:val="center"/>
          </w:tcPr>
          <w:p w14:paraId="780C6DBB" w14:textId="77777777" w:rsidR="00BF399A" w:rsidRDefault="00BF399A" w:rsidP="00D308D9">
            <w:pPr>
              <w:jc w:val="right"/>
              <w:rPr>
                <w:rFonts w:ascii="Calibri" w:hAnsi="Calibri"/>
                <w:color w:val="000000"/>
                <w:lang w:val="en-GB"/>
              </w:rPr>
            </w:pPr>
            <w:r>
              <w:rPr>
                <w:rFonts w:ascii="Calibri" w:hAnsi="Calibri"/>
                <w:color w:val="000000"/>
              </w:rPr>
              <w:t>1</w:t>
            </w:r>
          </w:p>
        </w:tc>
        <w:tc>
          <w:tcPr>
            <w:tcW w:w="1134" w:type="dxa"/>
            <w:vAlign w:val="center"/>
          </w:tcPr>
          <w:p w14:paraId="0FDA92A0" w14:textId="77777777" w:rsidR="00BF399A" w:rsidRDefault="00BF399A" w:rsidP="00D308D9">
            <w:pPr>
              <w:jc w:val="right"/>
              <w:rPr>
                <w:rFonts w:ascii="Calibri" w:hAnsi="Calibri"/>
                <w:color w:val="000000"/>
              </w:rPr>
            </w:pPr>
            <w:r>
              <w:rPr>
                <w:rFonts w:ascii="Calibri" w:hAnsi="Calibri"/>
                <w:color w:val="000000"/>
              </w:rPr>
              <w:t>0</w:t>
            </w:r>
          </w:p>
        </w:tc>
        <w:tc>
          <w:tcPr>
            <w:tcW w:w="1796" w:type="dxa"/>
            <w:vAlign w:val="center"/>
          </w:tcPr>
          <w:p w14:paraId="4F37C8FC" w14:textId="77777777" w:rsidR="00BF399A" w:rsidRDefault="00BF399A" w:rsidP="00D308D9">
            <w:pPr>
              <w:jc w:val="right"/>
            </w:pPr>
            <w:r>
              <w:t>(631774,631778)</w:t>
            </w:r>
          </w:p>
        </w:tc>
      </w:tr>
      <w:tr w:rsidR="00BF399A" w14:paraId="5505BD93" w14:textId="77777777" w:rsidTr="00D308D9">
        <w:tc>
          <w:tcPr>
            <w:tcW w:w="1560" w:type="dxa"/>
            <w:hideMark/>
          </w:tcPr>
          <w:p w14:paraId="18D65D6D" w14:textId="77777777" w:rsidR="00BF399A" w:rsidRDefault="00BF399A" w:rsidP="00D308D9">
            <w:r>
              <w:t>Mixed</w:t>
            </w:r>
          </w:p>
        </w:tc>
        <w:tc>
          <w:tcPr>
            <w:tcW w:w="1837" w:type="dxa"/>
            <w:vAlign w:val="center"/>
          </w:tcPr>
          <w:p w14:paraId="72CAD0A6" w14:textId="77777777" w:rsidR="00BF399A" w:rsidRDefault="00BF399A" w:rsidP="00D308D9">
            <w:pPr>
              <w:jc w:val="right"/>
              <w:rPr>
                <w:rFonts w:ascii="Calibri" w:hAnsi="Calibri"/>
                <w:color w:val="000000"/>
              </w:rPr>
            </w:pPr>
            <w:r>
              <w:rPr>
                <w:rFonts w:ascii="Calibri" w:hAnsi="Calibri"/>
                <w:color w:val="000000"/>
              </w:rPr>
              <w:t>7200</w:t>
            </w:r>
          </w:p>
        </w:tc>
        <w:tc>
          <w:tcPr>
            <w:tcW w:w="1276" w:type="dxa"/>
            <w:vAlign w:val="center"/>
          </w:tcPr>
          <w:p w14:paraId="69B35707" w14:textId="77777777" w:rsidR="00BF399A" w:rsidRDefault="00BF399A" w:rsidP="00D308D9">
            <w:pPr>
              <w:jc w:val="right"/>
              <w:rPr>
                <w:rFonts w:ascii="Calibri" w:hAnsi="Calibri"/>
                <w:color w:val="000000"/>
              </w:rPr>
            </w:pPr>
            <w:r>
              <w:rPr>
                <w:rFonts w:ascii="Calibri" w:hAnsi="Calibri"/>
                <w:color w:val="000000"/>
              </w:rPr>
              <w:t>7200</w:t>
            </w:r>
          </w:p>
        </w:tc>
        <w:tc>
          <w:tcPr>
            <w:tcW w:w="2693" w:type="dxa"/>
            <w:vAlign w:val="center"/>
          </w:tcPr>
          <w:p w14:paraId="201EA8F2" w14:textId="77777777" w:rsidR="00BF399A" w:rsidRDefault="00BF399A" w:rsidP="00D308D9">
            <w:pPr>
              <w:jc w:val="right"/>
              <w:rPr>
                <w:rFonts w:ascii="Calibri" w:hAnsi="Calibri"/>
                <w:color w:val="000000"/>
              </w:rPr>
            </w:pPr>
            <w:r>
              <w:rPr>
                <w:rFonts w:ascii="Calibri" w:hAnsi="Calibri"/>
                <w:color w:val="000000"/>
              </w:rPr>
              <w:t>0</w:t>
            </w:r>
          </w:p>
        </w:tc>
        <w:tc>
          <w:tcPr>
            <w:tcW w:w="1134" w:type="dxa"/>
            <w:vAlign w:val="center"/>
          </w:tcPr>
          <w:p w14:paraId="534419FD" w14:textId="77777777" w:rsidR="00BF399A" w:rsidRDefault="00BF399A" w:rsidP="00D308D9">
            <w:pPr>
              <w:jc w:val="right"/>
              <w:rPr>
                <w:rFonts w:ascii="Calibri" w:hAnsi="Calibri"/>
                <w:color w:val="000000"/>
              </w:rPr>
            </w:pPr>
            <w:r>
              <w:rPr>
                <w:rFonts w:ascii="Calibri" w:hAnsi="Calibri"/>
                <w:color w:val="000000"/>
              </w:rPr>
              <w:t>0</w:t>
            </w:r>
          </w:p>
        </w:tc>
        <w:tc>
          <w:tcPr>
            <w:tcW w:w="1796" w:type="dxa"/>
            <w:vAlign w:val="center"/>
          </w:tcPr>
          <w:p w14:paraId="76A5E316" w14:textId="77777777" w:rsidR="00BF399A" w:rsidRDefault="00BF399A" w:rsidP="00D308D9">
            <w:pPr>
              <w:jc w:val="right"/>
            </w:pPr>
            <w:r>
              <w:t>(7199,7202)</w:t>
            </w:r>
          </w:p>
        </w:tc>
      </w:tr>
      <w:tr w:rsidR="00BF399A" w14:paraId="380DF56D" w14:textId="77777777" w:rsidTr="00D308D9">
        <w:tc>
          <w:tcPr>
            <w:tcW w:w="1560" w:type="dxa"/>
            <w:hideMark/>
          </w:tcPr>
          <w:p w14:paraId="58469089" w14:textId="77777777" w:rsidR="00BF399A" w:rsidRDefault="00BF399A" w:rsidP="00D308D9">
            <w:r>
              <w:t>Asian</w:t>
            </w:r>
          </w:p>
        </w:tc>
        <w:tc>
          <w:tcPr>
            <w:tcW w:w="1837" w:type="dxa"/>
            <w:vAlign w:val="center"/>
          </w:tcPr>
          <w:p w14:paraId="2623B355" w14:textId="77777777" w:rsidR="00BF399A" w:rsidRDefault="00BF399A" w:rsidP="00D308D9">
            <w:pPr>
              <w:jc w:val="right"/>
              <w:rPr>
                <w:rFonts w:ascii="Calibri" w:hAnsi="Calibri"/>
                <w:color w:val="000000"/>
              </w:rPr>
            </w:pPr>
            <w:r>
              <w:rPr>
                <w:rFonts w:ascii="Calibri" w:hAnsi="Calibri"/>
                <w:color w:val="000000"/>
              </w:rPr>
              <w:t>8161</w:t>
            </w:r>
          </w:p>
        </w:tc>
        <w:tc>
          <w:tcPr>
            <w:tcW w:w="1276" w:type="dxa"/>
            <w:vAlign w:val="center"/>
          </w:tcPr>
          <w:p w14:paraId="42A39C5F" w14:textId="77777777" w:rsidR="00BF399A" w:rsidRDefault="00BF399A" w:rsidP="00D308D9">
            <w:pPr>
              <w:jc w:val="right"/>
              <w:rPr>
                <w:rFonts w:ascii="Calibri" w:hAnsi="Calibri"/>
                <w:color w:val="000000"/>
              </w:rPr>
            </w:pPr>
            <w:r>
              <w:rPr>
                <w:rFonts w:ascii="Calibri" w:hAnsi="Calibri"/>
                <w:color w:val="000000"/>
              </w:rPr>
              <w:t>8161</w:t>
            </w:r>
          </w:p>
        </w:tc>
        <w:tc>
          <w:tcPr>
            <w:tcW w:w="2693" w:type="dxa"/>
            <w:vAlign w:val="center"/>
          </w:tcPr>
          <w:p w14:paraId="19B2AFD9" w14:textId="77777777" w:rsidR="00BF399A" w:rsidRDefault="00BF399A" w:rsidP="00D308D9">
            <w:pPr>
              <w:jc w:val="right"/>
              <w:rPr>
                <w:rFonts w:ascii="Calibri" w:hAnsi="Calibri"/>
                <w:color w:val="000000"/>
              </w:rPr>
            </w:pPr>
            <w:r>
              <w:rPr>
                <w:rFonts w:ascii="Calibri" w:hAnsi="Calibri"/>
                <w:color w:val="000000"/>
              </w:rPr>
              <w:t>0</w:t>
            </w:r>
          </w:p>
        </w:tc>
        <w:tc>
          <w:tcPr>
            <w:tcW w:w="1134" w:type="dxa"/>
            <w:vAlign w:val="center"/>
          </w:tcPr>
          <w:p w14:paraId="7710C84F" w14:textId="77777777" w:rsidR="00BF399A" w:rsidRDefault="00BF399A" w:rsidP="00D308D9">
            <w:pPr>
              <w:jc w:val="right"/>
              <w:rPr>
                <w:rFonts w:ascii="Calibri" w:hAnsi="Calibri"/>
                <w:color w:val="000000"/>
              </w:rPr>
            </w:pPr>
            <w:r>
              <w:rPr>
                <w:rFonts w:ascii="Calibri" w:hAnsi="Calibri"/>
                <w:color w:val="000000"/>
              </w:rPr>
              <w:t>0</w:t>
            </w:r>
          </w:p>
        </w:tc>
        <w:tc>
          <w:tcPr>
            <w:tcW w:w="1796" w:type="dxa"/>
            <w:vAlign w:val="center"/>
          </w:tcPr>
          <w:p w14:paraId="59E16C8B" w14:textId="77777777" w:rsidR="00BF399A" w:rsidRDefault="00BF399A" w:rsidP="00D308D9">
            <w:pPr>
              <w:jc w:val="right"/>
            </w:pPr>
            <w:r>
              <w:t>(8160,8164)</w:t>
            </w:r>
          </w:p>
        </w:tc>
      </w:tr>
      <w:tr w:rsidR="00BF399A" w14:paraId="1474E928" w14:textId="77777777" w:rsidTr="00D308D9">
        <w:tc>
          <w:tcPr>
            <w:tcW w:w="1560" w:type="dxa"/>
            <w:hideMark/>
          </w:tcPr>
          <w:p w14:paraId="0A8D23C7" w14:textId="77777777" w:rsidR="00BF399A" w:rsidRDefault="00BF399A" w:rsidP="00D308D9">
            <w:r>
              <w:t>Black</w:t>
            </w:r>
          </w:p>
        </w:tc>
        <w:tc>
          <w:tcPr>
            <w:tcW w:w="1837" w:type="dxa"/>
            <w:vAlign w:val="center"/>
          </w:tcPr>
          <w:p w14:paraId="63A24037" w14:textId="77777777" w:rsidR="00BF399A" w:rsidRDefault="00BF399A" w:rsidP="00D308D9">
            <w:pPr>
              <w:jc w:val="right"/>
              <w:rPr>
                <w:rFonts w:ascii="Calibri" w:hAnsi="Calibri"/>
                <w:color w:val="000000"/>
              </w:rPr>
            </w:pPr>
            <w:r>
              <w:rPr>
                <w:rFonts w:ascii="Calibri" w:hAnsi="Calibri"/>
                <w:color w:val="000000"/>
              </w:rPr>
              <w:t>2138</w:t>
            </w:r>
          </w:p>
        </w:tc>
        <w:tc>
          <w:tcPr>
            <w:tcW w:w="1276" w:type="dxa"/>
            <w:vAlign w:val="center"/>
          </w:tcPr>
          <w:p w14:paraId="62865D4A" w14:textId="77777777" w:rsidR="00BF399A" w:rsidRDefault="00BF399A" w:rsidP="00D308D9">
            <w:pPr>
              <w:jc w:val="right"/>
              <w:rPr>
                <w:rFonts w:ascii="Calibri" w:hAnsi="Calibri"/>
                <w:color w:val="000000"/>
              </w:rPr>
            </w:pPr>
            <w:r>
              <w:rPr>
                <w:rFonts w:ascii="Calibri" w:hAnsi="Calibri"/>
                <w:color w:val="000000"/>
              </w:rPr>
              <w:t>2138</w:t>
            </w:r>
          </w:p>
        </w:tc>
        <w:tc>
          <w:tcPr>
            <w:tcW w:w="2693" w:type="dxa"/>
            <w:vAlign w:val="center"/>
          </w:tcPr>
          <w:p w14:paraId="57B5BB85" w14:textId="77777777" w:rsidR="00BF399A" w:rsidRDefault="00BF399A" w:rsidP="00D308D9">
            <w:pPr>
              <w:jc w:val="right"/>
              <w:rPr>
                <w:rFonts w:ascii="Calibri" w:hAnsi="Calibri"/>
                <w:color w:val="000000"/>
              </w:rPr>
            </w:pPr>
            <w:r>
              <w:rPr>
                <w:rFonts w:ascii="Calibri" w:hAnsi="Calibri"/>
                <w:color w:val="000000"/>
              </w:rPr>
              <w:t>0</w:t>
            </w:r>
          </w:p>
        </w:tc>
        <w:tc>
          <w:tcPr>
            <w:tcW w:w="1134" w:type="dxa"/>
            <w:vAlign w:val="center"/>
          </w:tcPr>
          <w:p w14:paraId="71E7BCC6" w14:textId="77777777" w:rsidR="00BF399A" w:rsidRDefault="00BF399A" w:rsidP="00D308D9">
            <w:pPr>
              <w:jc w:val="right"/>
              <w:rPr>
                <w:rFonts w:ascii="Calibri" w:hAnsi="Calibri"/>
                <w:color w:val="000000"/>
              </w:rPr>
            </w:pPr>
            <w:r>
              <w:rPr>
                <w:rFonts w:ascii="Calibri" w:hAnsi="Calibri"/>
                <w:color w:val="000000"/>
              </w:rPr>
              <w:t>0</w:t>
            </w:r>
          </w:p>
        </w:tc>
        <w:tc>
          <w:tcPr>
            <w:tcW w:w="1796" w:type="dxa"/>
            <w:vAlign w:val="center"/>
          </w:tcPr>
          <w:p w14:paraId="6241E180" w14:textId="77777777" w:rsidR="00BF399A" w:rsidRDefault="00BF399A" w:rsidP="00D308D9">
            <w:pPr>
              <w:jc w:val="right"/>
            </w:pPr>
            <w:r>
              <w:t>(2137,2141)</w:t>
            </w:r>
          </w:p>
        </w:tc>
      </w:tr>
      <w:tr w:rsidR="00BF399A" w14:paraId="58C7B844" w14:textId="77777777" w:rsidTr="00D308D9">
        <w:tc>
          <w:tcPr>
            <w:tcW w:w="1560" w:type="dxa"/>
            <w:hideMark/>
          </w:tcPr>
          <w:p w14:paraId="64216E75" w14:textId="77777777" w:rsidR="00BF399A" w:rsidRDefault="00BF399A" w:rsidP="00D308D9">
            <w:r>
              <w:t>Other</w:t>
            </w:r>
          </w:p>
        </w:tc>
        <w:tc>
          <w:tcPr>
            <w:tcW w:w="1837" w:type="dxa"/>
            <w:vAlign w:val="center"/>
          </w:tcPr>
          <w:p w14:paraId="719770EB" w14:textId="77777777" w:rsidR="00BF399A" w:rsidRDefault="00BF399A" w:rsidP="00D308D9">
            <w:pPr>
              <w:jc w:val="right"/>
              <w:rPr>
                <w:rFonts w:ascii="Calibri" w:hAnsi="Calibri"/>
                <w:color w:val="000000"/>
              </w:rPr>
            </w:pPr>
            <w:r>
              <w:rPr>
                <w:rFonts w:ascii="Calibri" w:hAnsi="Calibri"/>
                <w:color w:val="000000"/>
              </w:rPr>
              <w:t>808</w:t>
            </w:r>
          </w:p>
        </w:tc>
        <w:tc>
          <w:tcPr>
            <w:tcW w:w="1276" w:type="dxa"/>
            <w:vAlign w:val="center"/>
          </w:tcPr>
          <w:p w14:paraId="59D3CF38" w14:textId="77777777" w:rsidR="00BF399A" w:rsidRDefault="00BF399A" w:rsidP="00D308D9">
            <w:pPr>
              <w:jc w:val="right"/>
              <w:rPr>
                <w:rFonts w:ascii="Calibri" w:hAnsi="Calibri"/>
                <w:color w:val="000000"/>
              </w:rPr>
            </w:pPr>
            <w:r>
              <w:rPr>
                <w:rFonts w:ascii="Calibri" w:hAnsi="Calibri"/>
                <w:color w:val="000000"/>
              </w:rPr>
              <w:t>808</w:t>
            </w:r>
          </w:p>
        </w:tc>
        <w:tc>
          <w:tcPr>
            <w:tcW w:w="2693" w:type="dxa"/>
            <w:vAlign w:val="center"/>
          </w:tcPr>
          <w:p w14:paraId="2DC18E42" w14:textId="77777777" w:rsidR="00BF399A" w:rsidRDefault="00BF399A" w:rsidP="00D308D9">
            <w:pPr>
              <w:jc w:val="right"/>
              <w:rPr>
                <w:rFonts w:ascii="Calibri" w:hAnsi="Calibri"/>
                <w:color w:val="000000"/>
              </w:rPr>
            </w:pPr>
            <w:r>
              <w:rPr>
                <w:rFonts w:ascii="Calibri" w:hAnsi="Calibri"/>
                <w:color w:val="000000"/>
              </w:rPr>
              <w:t>0</w:t>
            </w:r>
          </w:p>
        </w:tc>
        <w:tc>
          <w:tcPr>
            <w:tcW w:w="1134" w:type="dxa"/>
            <w:vAlign w:val="center"/>
          </w:tcPr>
          <w:p w14:paraId="757B3791" w14:textId="77777777" w:rsidR="00BF399A" w:rsidRDefault="00BF399A" w:rsidP="00D308D9">
            <w:pPr>
              <w:jc w:val="right"/>
              <w:rPr>
                <w:rFonts w:ascii="Calibri" w:hAnsi="Calibri"/>
                <w:color w:val="000000"/>
              </w:rPr>
            </w:pPr>
            <w:r>
              <w:rPr>
                <w:rFonts w:ascii="Calibri" w:hAnsi="Calibri"/>
                <w:color w:val="000000"/>
              </w:rPr>
              <w:t>0</w:t>
            </w:r>
          </w:p>
        </w:tc>
        <w:tc>
          <w:tcPr>
            <w:tcW w:w="1796" w:type="dxa"/>
            <w:vAlign w:val="center"/>
          </w:tcPr>
          <w:p w14:paraId="130F9B5B" w14:textId="77777777" w:rsidR="00BF399A" w:rsidRDefault="00BF399A" w:rsidP="00D308D9">
            <w:pPr>
              <w:jc w:val="right"/>
            </w:pPr>
            <w:r>
              <w:t>(807,810)</w:t>
            </w:r>
          </w:p>
        </w:tc>
      </w:tr>
      <w:tr w:rsidR="00BF399A" w14:paraId="39D0D672" w14:textId="77777777" w:rsidTr="00D308D9">
        <w:tc>
          <w:tcPr>
            <w:tcW w:w="1560" w:type="dxa"/>
            <w:hideMark/>
          </w:tcPr>
          <w:p w14:paraId="00F4EA1D" w14:textId="77777777" w:rsidR="00BF399A" w:rsidRDefault="00BF399A" w:rsidP="00D308D9">
            <w:pPr>
              <w:rPr>
                <w:b/>
              </w:rPr>
            </w:pPr>
            <w:r>
              <w:rPr>
                <w:b/>
              </w:rPr>
              <w:t>Activity last week</w:t>
            </w:r>
          </w:p>
        </w:tc>
        <w:tc>
          <w:tcPr>
            <w:tcW w:w="1837" w:type="dxa"/>
            <w:vAlign w:val="center"/>
          </w:tcPr>
          <w:p w14:paraId="4EC6131B" w14:textId="77777777" w:rsidR="00BF399A" w:rsidRDefault="00BF399A" w:rsidP="00D308D9">
            <w:pPr>
              <w:jc w:val="right"/>
            </w:pPr>
          </w:p>
        </w:tc>
        <w:tc>
          <w:tcPr>
            <w:tcW w:w="1276" w:type="dxa"/>
            <w:vAlign w:val="center"/>
          </w:tcPr>
          <w:p w14:paraId="1FD7D1F9" w14:textId="77777777" w:rsidR="00BF399A" w:rsidRDefault="00BF399A" w:rsidP="00D308D9">
            <w:pPr>
              <w:jc w:val="right"/>
            </w:pPr>
          </w:p>
        </w:tc>
        <w:tc>
          <w:tcPr>
            <w:tcW w:w="2693" w:type="dxa"/>
            <w:vAlign w:val="center"/>
          </w:tcPr>
          <w:p w14:paraId="359EF042" w14:textId="77777777" w:rsidR="00BF399A" w:rsidRDefault="00BF399A" w:rsidP="00D308D9">
            <w:pPr>
              <w:jc w:val="right"/>
            </w:pPr>
          </w:p>
        </w:tc>
        <w:tc>
          <w:tcPr>
            <w:tcW w:w="1134" w:type="dxa"/>
            <w:vAlign w:val="center"/>
          </w:tcPr>
          <w:p w14:paraId="2D73F3A9" w14:textId="77777777" w:rsidR="00BF399A" w:rsidRDefault="00BF399A" w:rsidP="00D308D9">
            <w:pPr>
              <w:jc w:val="right"/>
            </w:pPr>
          </w:p>
        </w:tc>
        <w:tc>
          <w:tcPr>
            <w:tcW w:w="1796" w:type="dxa"/>
            <w:vAlign w:val="center"/>
          </w:tcPr>
          <w:p w14:paraId="54577282" w14:textId="77777777" w:rsidR="00BF399A" w:rsidRDefault="00BF399A" w:rsidP="00D308D9">
            <w:pPr>
              <w:jc w:val="right"/>
            </w:pPr>
          </w:p>
        </w:tc>
      </w:tr>
      <w:tr w:rsidR="00BF399A" w14:paraId="3FA0D8CF" w14:textId="77777777" w:rsidTr="00D308D9">
        <w:tc>
          <w:tcPr>
            <w:tcW w:w="1560" w:type="dxa"/>
            <w:hideMark/>
          </w:tcPr>
          <w:p w14:paraId="1BBF9880" w14:textId="77777777" w:rsidR="00BF399A" w:rsidRDefault="00BF399A" w:rsidP="00D308D9">
            <w:r>
              <w:t>Employed</w:t>
            </w:r>
          </w:p>
        </w:tc>
        <w:tc>
          <w:tcPr>
            <w:tcW w:w="1837" w:type="dxa"/>
            <w:vAlign w:val="center"/>
          </w:tcPr>
          <w:p w14:paraId="204A2C1C" w14:textId="77777777" w:rsidR="00BF399A" w:rsidRDefault="00BF399A" w:rsidP="00D308D9">
            <w:pPr>
              <w:jc w:val="right"/>
              <w:rPr>
                <w:rFonts w:ascii="Calibri" w:hAnsi="Calibri"/>
                <w:color w:val="000000"/>
                <w:lang w:val="en-GB"/>
              </w:rPr>
            </w:pPr>
            <w:r>
              <w:rPr>
                <w:rFonts w:ascii="Calibri" w:hAnsi="Calibri"/>
                <w:color w:val="000000"/>
              </w:rPr>
              <w:t>316280</w:t>
            </w:r>
          </w:p>
        </w:tc>
        <w:tc>
          <w:tcPr>
            <w:tcW w:w="1276" w:type="dxa"/>
            <w:vAlign w:val="center"/>
          </w:tcPr>
          <w:p w14:paraId="588AFE32" w14:textId="77777777" w:rsidR="00BF399A" w:rsidRDefault="00BF399A" w:rsidP="00D308D9">
            <w:pPr>
              <w:jc w:val="right"/>
              <w:rPr>
                <w:rFonts w:ascii="Calibri" w:hAnsi="Calibri"/>
                <w:color w:val="000000"/>
              </w:rPr>
            </w:pPr>
            <w:r>
              <w:rPr>
                <w:rFonts w:ascii="Calibri" w:hAnsi="Calibri"/>
                <w:color w:val="000000"/>
              </w:rPr>
              <w:t>316280</w:t>
            </w:r>
          </w:p>
        </w:tc>
        <w:tc>
          <w:tcPr>
            <w:tcW w:w="2693" w:type="dxa"/>
            <w:vAlign w:val="center"/>
          </w:tcPr>
          <w:p w14:paraId="67469DB4" w14:textId="77777777" w:rsidR="00BF399A" w:rsidRDefault="00BF399A" w:rsidP="00D308D9">
            <w:pPr>
              <w:jc w:val="right"/>
              <w:rPr>
                <w:rFonts w:ascii="Calibri" w:hAnsi="Calibri"/>
                <w:color w:val="000000"/>
                <w:lang w:val="en-GB"/>
              </w:rPr>
            </w:pPr>
            <w:r>
              <w:rPr>
                <w:rFonts w:ascii="Calibri" w:hAnsi="Calibri"/>
                <w:color w:val="000000"/>
              </w:rPr>
              <w:t>1</w:t>
            </w:r>
          </w:p>
        </w:tc>
        <w:tc>
          <w:tcPr>
            <w:tcW w:w="1134" w:type="dxa"/>
            <w:vAlign w:val="center"/>
          </w:tcPr>
          <w:p w14:paraId="1B1CDE8E" w14:textId="77777777" w:rsidR="00BF399A" w:rsidRDefault="00BF399A" w:rsidP="00D308D9">
            <w:pPr>
              <w:jc w:val="right"/>
              <w:rPr>
                <w:rFonts w:ascii="Calibri" w:hAnsi="Calibri"/>
                <w:color w:val="000000"/>
              </w:rPr>
            </w:pPr>
            <w:r>
              <w:rPr>
                <w:rFonts w:ascii="Calibri" w:hAnsi="Calibri"/>
                <w:color w:val="000000"/>
              </w:rPr>
              <w:t>0</w:t>
            </w:r>
          </w:p>
        </w:tc>
        <w:tc>
          <w:tcPr>
            <w:tcW w:w="1796" w:type="dxa"/>
            <w:vAlign w:val="center"/>
          </w:tcPr>
          <w:p w14:paraId="3D92B119" w14:textId="77777777" w:rsidR="00BF399A" w:rsidRDefault="00BF399A" w:rsidP="00D308D9">
            <w:pPr>
              <w:jc w:val="right"/>
            </w:pPr>
            <w:r>
              <w:t>(316279,316283)</w:t>
            </w:r>
          </w:p>
        </w:tc>
      </w:tr>
      <w:tr w:rsidR="00BF399A" w14:paraId="2B5FA839" w14:textId="77777777" w:rsidTr="00D308D9">
        <w:tc>
          <w:tcPr>
            <w:tcW w:w="1560" w:type="dxa"/>
            <w:hideMark/>
          </w:tcPr>
          <w:p w14:paraId="18AA570A" w14:textId="77777777" w:rsidR="00BF399A" w:rsidRDefault="00BF399A" w:rsidP="00D308D9">
            <w:r>
              <w:t>Unemployed</w:t>
            </w:r>
          </w:p>
        </w:tc>
        <w:tc>
          <w:tcPr>
            <w:tcW w:w="1837" w:type="dxa"/>
            <w:vAlign w:val="center"/>
          </w:tcPr>
          <w:p w14:paraId="59D9EC4E" w14:textId="77777777" w:rsidR="00BF399A" w:rsidRDefault="00BF399A" w:rsidP="00D308D9">
            <w:pPr>
              <w:jc w:val="right"/>
              <w:rPr>
                <w:rFonts w:ascii="Calibri" w:hAnsi="Calibri"/>
                <w:color w:val="000000"/>
              </w:rPr>
            </w:pPr>
            <w:r>
              <w:rPr>
                <w:rFonts w:ascii="Calibri" w:hAnsi="Calibri"/>
                <w:color w:val="000000"/>
              </w:rPr>
              <w:t>28763</w:t>
            </w:r>
          </w:p>
        </w:tc>
        <w:tc>
          <w:tcPr>
            <w:tcW w:w="1276" w:type="dxa"/>
            <w:vAlign w:val="center"/>
          </w:tcPr>
          <w:p w14:paraId="184B45BA" w14:textId="77777777" w:rsidR="00BF399A" w:rsidRDefault="00BF399A" w:rsidP="00D308D9">
            <w:pPr>
              <w:jc w:val="right"/>
              <w:rPr>
                <w:rFonts w:ascii="Calibri" w:hAnsi="Calibri"/>
                <w:color w:val="000000"/>
              </w:rPr>
            </w:pPr>
            <w:r>
              <w:rPr>
                <w:rFonts w:ascii="Calibri" w:hAnsi="Calibri"/>
                <w:color w:val="000000"/>
              </w:rPr>
              <w:t>28763</w:t>
            </w:r>
          </w:p>
        </w:tc>
        <w:tc>
          <w:tcPr>
            <w:tcW w:w="2693" w:type="dxa"/>
            <w:vAlign w:val="center"/>
          </w:tcPr>
          <w:p w14:paraId="1ABEBECC" w14:textId="77777777" w:rsidR="00BF399A" w:rsidRDefault="00BF399A" w:rsidP="00D308D9">
            <w:pPr>
              <w:jc w:val="right"/>
              <w:rPr>
                <w:rFonts w:ascii="Calibri" w:hAnsi="Calibri"/>
                <w:color w:val="000000"/>
              </w:rPr>
            </w:pPr>
            <w:r>
              <w:rPr>
                <w:rFonts w:ascii="Calibri" w:hAnsi="Calibri"/>
                <w:color w:val="000000"/>
              </w:rPr>
              <w:t>1</w:t>
            </w:r>
          </w:p>
        </w:tc>
        <w:tc>
          <w:tcPr>
            <w:tcW w:w="1134" w:type="dxa"/>
            <w:vAlign w:val="center"/>
          </w:tcPr>
          <w:p w14:paraId="22AA63DD" w14:textId="77777777" w:rsidR="00BF399A" w:rsidRDefault="00BF399A" w:rsidP="00D308D9">
            <w:pPr>
              <w:jc w:val="right"/>
              <w:rPr>
                <w:rFonts w:ascii="Calibri" w:hAnsi="Calibri"/>
                <w:color w:val="000000"/>
              </w:rPr>
            </w:pPr>
            <w:r>
              <w:rPr>
                <w:rFonts w:ascii="Calibri" w:hAnsi="Calibri"/>
                <w:color w:val="000000"/>
              </w:rPr>
              <w:t>0</w:t>
            </w:r>
          </w:p>
        </w:tc>
        <w:tc>
          <w:tcPr>
            <w:tcW w:w="1796" w:type="dxa"/>
            <w:vAlign w:val="center"/>
          </w:tcPr>
          <w:p w14:paraId="7DC5E142" w14:textId="77777777" w:rsidR="00BF399A" w:rsidRDefault="00BF399A" w:rsidP="00D308D9">
            <w:pPr>
              <w:jc w:val="right"/>
            </w:pPr>
            <w:r>
              <w:t>(28762,28767)</w:t>
            </w:r>
          </w:p>
        </w:tc>
      </w:tr>
      <w:tr w:rsidR="00BF399A" w14:paraId="6B5BEE1B" w14:textId="77777777" w:rsidTr="00D308D9">
        <w:tc>
          <w:tcPr>
            <w:tcW w:w="1560" w:type="dxa"/>
            <w:hideMark/>
          </w:tcPr>
          <w:p w14:paraId="0FC5674E" w14:textId="77777777" w:rsidR="00BF399A" w:rsidRDefault="00BF399A" w:rsidP="00D308D9">
            <w:r>
              <w:t>Student</w:t>
            </w:r>
          </w:p>
        </w:tc>
        <w:tc>
          <w:tcPr>
            <w:tcW w:w="1837" w:type="dxa"/>
            <w:vAlign w:val="center"/>
          </w:tcPr>
          <w:p w14:paraId="2318D196" w14:textId="77777777" w:rsidR="00BF399A" w:rsidRDefault="00BF399A" w:rsidP="00D308D9">
            <w:pPr>
              <w:jc w:val="right"/>
              <w:rPr>
                <w:rFonts w:ascii="Calibri" w:hAnsi="Calibri"/>
                <w:color w:val="000000"/>
              </w:rPr>
            </w:pPr>
            <w:r>
              <w:rPr>
                <w:rFonts w:ascii="Calibri" w:hAnsi="Calibri"/>
                <w:color w:val="000000"/>
              </w:rPr>
              <w:t>17446</w:t>
            </w:r>
          </w:p>
        </w:tc>
        <w:tc>
          <w:tcPr>
            <w:tcW w:w="1276" w:type="dxa"/>
            <w:vAlign w:val="center"/>
          </w:tcPr>
          <w:p w14:paraId="0A2D2E74" w14:textId="77777777" w:rsidR="00BF399A" w:rsidRDefault="00BF399A" w:rsidP="00D308D9">
            <w:pPr>
              <w:jc w:val="right"/>
              <w:rPr>
                <w:rFonts w:ascii="Calibri" w:hAnsi="Calibri"/>
                <w:color w:val="000000"/>
              </w:rPr>
            </w:pPr>
            <w:r>
              <w:rPr>
                <w:rFonts w:ascii="Calibri" w:hAnsi="Calibri"/>
                <w:color w:val="000000"/>
              </w:rPr>
              <w:t>17446</w:t>
            </w:r>
          </w:p>
        </w:tc>
        <w:tc>
          <w:tcPr>
            <w:tcW w:w="2693" w:type="dxa"/>
            <w:vAlign w:val="center"/>
          </w:tcPr>
          <w:p w14:paraId="025BCC25" w14:textId="77777777" w:rsidR="00BF399A" w:rsidRDefault="00BF399A" w:rsidP="00D308D9">
            <w:pPr>
              <w:jc w:val="right"/>
              <w:rPr>
                <w:rFonts w:ascii="Calibri" w:hAnsi="Calibri"/>
                <w:color w:val="000000"/>
              </w:rPr>
            </w:pPr>
            <w:r>
              <w:rPr>
                <w:rFonts w:ascii="Calibri" w:hAnsi="Calibri"/>
                <w:color w:val="000000"/>
              </w:rPr>
              <w:t>1</w:t>
            </w:r>
          </w:p>
        </w:tc>
        <w:tc>
          <w:tcPr>
            <w:tcW w:w="1134" w:type="dxa"/>
            <w:vAlign w:val="center"/>
          </w:tcPr>
          <w:p w14:paraId="16B35D2B" w14:textId="77777777" w:rsidR="00BF399A" w:rsidRDefault="00BF399A" w:rsidP="00D308D9">
            <w:pPr>
              <w:jc w:val="right"/>
              <w:rPr>
                <w:rFonts w:ascii="Calibri" w:hAnsi="Calibri"/>
                <w:color w:val="000000"/>
              </w:rPr>
            </w:pPr>
            <w:r>
              <w:rPr>
                <w:rFonts w:ascii="Calibri" w:hAnsi="Calibri"/>
                <w:color w:val="000000"/>
              </w:rPr>
              <w:t>0.0001</w:t>
            </w:r>
          </w:p>
        </w:tc>
        <w:tc>
          <w:tcPr>
            <w:tcW w:w="1796" w:type="dxa"/>
            <w:vAlign w:val="center"/>
          </w:tcPr>
          <w:p w14:paraId="7A09F72A" w14:textId="77777777" w:rsidR="00BF399A" w:rsidRDefault="00BF399A" w:rsidP="00D308D9">
            <w:pPr>
              <w:jc w:val="right"/>
            </w:pPr>
            <w:r>
              <w:t>(17446,17449)</w:t>
            </w:r>
          </w:p>
        </w:tc>
      </w:tr>
      <w:tr w:rsidR="00BF399A" w14:paraId="23245A4B" w14:textId="77777777" w:rsidTr="00D308D9">
        <w:tc>
          <w:tcPr>
            <w:tcW w:w="1560" w:type="dxa"/>
            <w:hideMark/>
          </w:tcPr>
          <w:p w14:paraId="40CA78B8" w14:textId="77777777" w:rsidR="00BF399A" w:rsidRDefault="00BF399A" w:rsidP="00D308D9">
            <w:r>
              <w:t>Other</w:t>
            </w:r>
          </w:p>
        </w:tc>
        <w:tc>
          <w:tcPr>
            <w:tcW w:w="1837" w:type="dxa"/>
            <w:vAlign w:val="center"/>
          </w:tcPr>
          <w:p w14:paraId="32860EE0" w14:textId="77777777" w:rsidR="00BF399A" w:rsidRDefault="00BF399A" w:rsidP="00D308D9">
            <w:pPr>
              <w:jc w:val="right"/>
              <w:rPr>
                <w:rFonts w:ascii="Calibri" w:hAnsi="Calibri"/>
                <w:color w:val="000000"/>
              </w:rPr>
            </w:pPr>
            <w:r>
              <w:rPr>
                <w:rFonts w:ascii="Calibri" w:hAnsi="Calibri"/>
                <w:color w:val="000000"/>
              </w:rPr>
              <w:t>287593</w:t>
            </w:r>
          </w:p>
        </w:tc>
        <w:tc>
          <w:tcPr>
            <w:tcW w:w="1276" w:type="dxa"/>
            <w:vAlign w:val="center"/>
          </w:tcPr>
          <w:p w14:paraId="5BF56DA8" w14:textId="77777777" w:rsidR="00BF399A" w:rsidRDefault="00BF399A" w:rsidP="00D308D9">
            <w:pPr>
              <w:jc w:val="right"/>
              <w:rPr>
                <w:rFonts w:ascii="Calibri" w:hAnsi="Calibri"/>
                <w:color w:val="000000"/>
              </w:rPr>
            </w:pPr>
            <w:r>
              <w:rPr>
                <w:rFonts w:ascii="Calibri" w:hAnsi="Calibri"/>
                <w:color w:val="000000"/>
              </w:rPr>
              <w:t>287593</w:t>
            </w:r>
          </w:p>
        </w:tc>
        <w:tc>
          <w:tcPr>
            <w:tcW w:w="2693" w:type="dxa"/>
            <w:vAlign w:val="center"/>
          </w:tcPr>
          <w:p w14:paraId="717CAE67" w14:textId="77777777" w:rsidR="00BF399A" w:rsidRDefault="00BF399A" w:rsidP="00D308D9">
            <w:pPr>
              <w:jc w:val="right"/>
              <w:rPr>
                <w:rFonts w:ascii="Calibri" w:hAnsi="Calibri"/>
                <w:color w:val="000000"/>
              </w:rPr>
            </w:pPr>
            <w:r>
              <w:rPr>
                <w:rFonts w:ascii="Calibri" w:hAnsi="Calibri"/>
                <w:color w:val="000000"/>
              </w:rPr>
              <w:t>1</w:t>
            </w:r>
          </w:p>
        </w:tc>
        <w:tc>
          <w:tcPr>
            <w:tcW w:w="1134" w:type="dxa"/>
            <w:vAlign w:val="center"/>
          </w:tcPr>
          <w:p w14:paraId="573BA698" w14:textId="77777777" w:rsidR="00BF399A" w:rsidRDefault="00BF399A" w:rsidP="00D308D9">
            <w:pPr>
              <w:jc w:val="right"/>
              <w:rPr>
                <w:rFonts w:ascii="Calibri" w:hAnsi="Calibri"/>
                <w:color w:val="000000"/>
              </w:rPr>
            </w:pPr>
            <w:r>
              <w:rPr>
                <w:rFonts w:ascii="Calibri" w:hAnsi="Calibri"/>
                <w:color w:val="000000"/>
              </w:rPr>
              <w:t>0</w:t>
            </w:r>
          </w:p>
        </w:tc>
        <w:tc>
          <w:tcPr>
            <w:tcW w:w="1796" w:type="dxa"/>
            <w:vAlign w:val="center"/>
          </w:tcPr>
          <w:p w14:paraId="2672F4C1" w14:textId="77777777" w:rsidR="00BF399A" w:rsidRDefault="00BF399A" w:rsidP="00D308D9">
            <w:pPr>
              <w:jc w:val="right"/>
            </w:pPr>
            <w:r>
              <w:t>(287592,287596)</w:t>
            </w:r>
          </w:p>
        </w:tc>
      </w:tr>
    </w:tbl>
    <w:p w14:paraId="44A8C257" w14:textId="77777777" w:rsidR="00BF399A" w:rsidRDefault="00BF399A" w:rsidP="00BF399A">
      <w:pPr>
        <w:spacing w:line="240" w:lineRule="auto"/>
        <w:rPr>
          <w:rFonts w:ascii="Calibri" w:eastAsia="Times New Roman" w:hAnsi="Calibri" w:cs="Times New Roman"/>
          <w:sz w:val="24"/>
          <w:szCs w:val="24"/>
          <w:lang w:eastAsia="en-GB"/>
        </w:rPr>
      </w:pPr>
    </w:p>
    <w:p w14:paraId="19346E4E" w14:textId="77777777" w:rsidR="00BF399A" w:rsidRDefault="00BF399A" w:rsidP="00BF399A">
      <w:pPr>
        <w:spacing w:line="240" w:lineRule="auto"/>
        <w:rPr>
          <w:rFonts w:ascii="Calibri" w:eastAsia="Times New Roman" w:hAnsi="Calibri" w:cs="Times New Roman"/>
          <w:sz w:val="24"/>
          <w:szCs w:val="24"/>
          <w:lang w:eastAsia="en-GB"/>
        </w:rPr>
      </w:pPr>
    </w:p>
    <w:p w14:paraId="0B7872FE" w14:textId="77777777" w:rsidR="00BF399A" w:rsidRPr="000D3144" w:rsidRDefault="00BF399A" w:rsidP="00BF399A">
      <w:pPr>
        <w:spacing w:line="240" w:lineRule="auto"/>
        <w:rPr>
          <w:rFonts w:ascii="Calibri" w:eastAsia="Times New Roman" w:hAnsi="Calibri" w:cs="Times New Roman"/>
          <w:sz w:val="24"/>
          <w:szCs w:val="24"/>
          <w:lang w:eastAsia="en-GB"/>
        </w:rPr>
      </w:pPr>
      <w:r w:rsidRPr="000D3144">
        <w:rPr>
          <w:rFonts w:ascii="Calibri" w:eastAsia="Times New Roman" w:hAnsi="Calibri" w:cs="Times New Roman"/>
          <w:sz w:val="24"/>
          <w:szCs w:val="24"/>
          <w:lang w:eastAsia="en-GB"/>
        </w:rPr>
        <w:lastRenderedPageBreak/>
        <w:t>T</w:t>
      </w:r>
      <w:r w:rsidRPr="0068447F">
        <w:rPr>
          <w:rFonts w:ascii="Calibri" w:eastAsia="Times New Roman" w:hAnsi="Calibri" w:cs="Times New Roman"/>
          <w:sz w:val="24"/>
          <w:szCs w:val="24"/>
          <w:lang w:eastAsia="en-GB"/>
        </w:rPr>
        <w:t>able 4</w:t>
      </w:r>
      <w:r w:rsidRPr="000D3144">
        <w:rPr>
          <w:rFonts w:ascii="Calibri" w:eastAsia="Times New Roman" w:hAnsi="Calibri" w:cs="Times New Roman"/>
          <w:sz w:val="24"/>
          <w:szCs w:val="24"/>
          <w:lang w:eastAsia="en-GB"/>
        </w:rPr>
        <w:t xml:space="preserve"> provides measures o</w:t>
      </w:r>
      <w:r>
        <w:rPr>
          <w:rFonts w:ascii="Calibri" w:eastAsia="Times New Roman" w:hAnsi="Calibri" w:cs="Times New Roman"/>
          <w:sz w:val="24"/>
          <w:szCs w:val="24"/>
          <w:lang w:eastAsia="en-GB"/>
        </w:rPr>
        <w:t>f</w:t>
      </w:r>
      <w:r w:rsidRPr="000D3144">
        <w:rPr>
          <w:rFonts w:ascii="Calibri" w:eastAsia="Times New Roman" w:hAnsi="Calibri" w:cs="Times New Roman"/>
          <w:sz w:val="24"/>
          <w:szCs w:val="24"/>
          <w:lang w:eastAsia="en-GB"/>
        </w:rPr>
        <w:t xml:space="preserve"> the bias and variance around the 100 CO runs completed for the East Midlands </w:t>
      </w:r>
      <w:r>
        <w:rPr>
          <w:rFonts w:ascii="Calibri" w:eastAsia="Times New Roman" w:hAnsi="Calibri" w:cs="Times New Roman"/>
          <w:sz w:val="24"/>
          <w:szCs w:val="24"/>
          <w:lang w:eastAsia="en-GB"/>
        </w:rPr>
        <w:t xml:space="preserve">EA </w:t>
      </w:r>
      <w:r w:rsidRPr="000D3144">
        <w:rPr>
          <w:rFonts w:ascii="Calibri" w:eastAsia="Times New Roman" w:hAnsi="Calibri" w:cs="Times New Roman"/>
          <w:sz w:val="24"/>
          <w:szCs w:val="24"/>
          <w:lang w:eastAsia="en-GB"/>
        </w:rPr>
        <w:t xml:space="preserve">and can be compared with Table </w:t>
      </w:r>
      <w:r>
        <w:rPr>
          <w:rFonts w:ascii="Calibri" w:eastAsia="Times New Roman" w:hAnsi="Calibri" w:cs="Times New Roman"/>
          <w:sz w:val="24"/>
          <w:szCs w:val="24"/>
          <w:lang w:eastAsia="en-GB"/>
        </w:rPr>
        <w:t>2</w:t>
      </w:r>
      <w:r w:rsidRPr="000D3144">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above. The b</w:t>
      </w:r>
      <w:r w:rsidRPr="000D3144">
        <w:rPr>
          <w:rFonts w:ascii="Calibri" w:eastAsia="Times New Roman" w:hAnsi="Calibri" w:cs="Times New Roman"/>
          <w:sz w:val="24"/>
          <w:szCs w:val="24"/>
          <w:lang w:eastAsia="en-GB"/>
        </w:rPr>
        <w:t xml:space="preserve">ias </w:t>
      </w:r>
      <w:r>
        <w:rPr>
          <w:rFonts w:ascii="Calibri" w:eastAsia="Times New Roman" w:hAnsi="Calibri" w:cs="Times New Roman"/>
          <w:sz w:val="24"/>
          <w:szCs w:val="24"/>
          <w:lang w:eastAsia="en-GB"/>
        </w:rPr>
        <w:t>in the CO outputs for the benchmarked variables remains</w:t>
      </w:r>
      <w:r w:rsidRPr="000D3144">
        <w:rPr>
          <w:rFonts w:ascii="Calibri" w:eastAsia="Times New Roman" w:hAnsi="Calibri" w:cs="Times New Roman"/>
          <w:sz w:val="24"/>
          <w:szCs w:val="24"/>
          <w:lang w:eastAsia="en-GB"/>
        </w:rPr>
        <w:t xml:space="preserve"> low across most categories and </w:t>
      </w:r>
      <w:r>
        <w:rPr>
          <w:rFonts w:ascii="Calibri" w:eastAsia="Times New Roman" w:hAnsi="Calibri" w:cs="Times New Roman"/>
          <w:sz w:val="24"/>
          <w:szCs w:val="24"/>
          <w:lang w:eastAsia="en-GB"/>
        </w:rPr>
        <w:t xml:space="preserve">is </w:t>
      </w:r>
      <w:r w:rsidRPr="000D3144">
        <w:rPr>
          <w:rFonts w:ascii="Calibri" w:eastAsia="Times New Roman" w:hAnsi="Calibri" w:cs="Times New Roman"/>
          <w:sz w:val="24"/>
          <w:szCs w:val="24"/>
          <w:lang w:eastAsia="en-GB"/>
        </w:rPr>
        <w:t xml:space="preserve">only slightly higher compared to </w:t>
      </w:r>
      <w:r>
        <w:rPr>
          <w:rFonts w:ascii="Calibri" w:eastAsia="Times New Roman" w:hAnsi="Calibri" w:cs="Times New Roman"/>
          <w:sz w:val="24"/>
          <w:szCs w:val="24"/>
          <w:lang w:eastAsia="en-GB"/>
        </w:rPr>
        <w:t>T</w:t>
      </w:r>
      <w:r w:rsidRPr="000D3144">
        <w:rPr>
          <w:rFonts w:ascii="Calibri" w:eastAsia="Times New Roman" w:hAnsi="Calibri" w:cs="Times New Roman"/>
          <w:sz w:val="24"/>
          <w:szCs w:val="24"/>
          <w:lang w:eastAsia="en-GB"/>
        </w:rPr>
        <w:t xml:space="preserve">able </w:t>
      </w:r>
      <w:r>
        <w:rPr>
          <w:rFonts w:ascii="Calibri" w:eastAsia="Times New Roman" w:hAnsi="Calibri" w:cs="Times New Roman"/>
          <w:sz w:val="24"/>
          <w:szCs w:val="24"/>
          <w:lang w:eastAsia="en-GB"/>
        </w:rPr>
        <w:t>2</w:t>
      </w:r>
      <w:r w:rsidRPr="000D3144">
        <w:rPr>
          <w:rFonts w:ascii="Calibri" w:eastAsia="Times New Roman" w:hAnsi="Calibri" w:cs="Times New Roman"/>
          <w:sz w:val="24"/>
          <w:szCs w:val="24"/>
          <w:lang w:eastAsia="en-GB"/>
        </w:rPr>
        <w:t xml:space="preserve"> for household size. The South West and Outer London </w:t>
      </w:r>
      <w:r>
        <w:rPr>
          <w:rFonts w:ascii="Calibri" w:eastAsia="Times New Roman" w:hAnsi="Calibri" w:cs="Times New Roman"/>
          <w:sz w:val="24"/>
          <w:szCs w:val="24"/>
          <w:lang w:eastAsia="en-GB"/>
        </w:rPr>
        <w:t xml:space="preserve">EAs </w:t>
      </w:r>
      <w:r w:rsidRPr="000D3144">
        <w:rPr>
          <w:rFonts w:ascii="Calibri" w:eastAsia="Times New Roman" w:hAnsi="Calibri" w:cs="Times New Roman"/>
          <w:sz w:val="24"/>
          <w:szCs w:val="24"/>
          <w:lang w:eastAsia="en-GB"/>
        </w:rPr>
        <w:t>gave very similar errors across these categories and the age-sex by LA categories</w:t>
      </w:r>
      <w:r>
        <w:rPr>
          <w:rFonts w:ascii="Calibri" w:eastAsia="Times New Roman" w:hAnsi="Calibri" w:cs="Times New Roman"/>
          <w:sz w:val="24"/>
          <w:szCs w:val="24"/>
          <w:lang w:eastAsia="en-GB"/>
        </w:rPr>
        <w:t>,</w:t>
      </w:r>
      <w:r w:rsidRPr="000D3144">
        <w:rPr>
          <w:rFonts w:ascii="Calibri" w:eastAsia="Times New Roman" w:hAnsi="Calibri" w:cs="Times New Roman"/>
          <w:sz w:val="24"/>
          <w:szCs w:val="24"/>
          <w:lang w:eastAsia="en-GB"/>
        </w:rPr>
        <w:t xml:space="preserve"> compared to the original work</w:t>
      </w:r>
      <w:r>
        <w:rPr>
          <w:rFonts w:ascii="Calibri" w:eastAsia="Times New Roman" w:hAnsi="Calibri" w:cs="Times New Roman"/>
          <w:sz w:val="24"/>
          <w:szCs w:val="24"/>
          <w:lang w:eastAsia="en-GB"/>
        </w:rPr>
        <w:t xml:space="preserve"> in section 2 where the 2011 coverage patterns are unchanged.</w:t>
      </w:r>
    </w:p>
    <w:p w14:paraId="26E026C8" w14:textId="77777777" w:rsidR="00BF399A" w:rsidRDefault="00BF399A" w:rsidP="00BF399A">
      <w:pPr>
        <w:spacing w:line="240" w:lineRule="auto"/>
        <w:rPr>
          <w:rFonts w:ascii="Calibri" w:eastAsia="Times New Roman" w:hAnsi="Calibri" w:cs="Times New Roman"/>
          <w:sz w:val="24"/>
          <w:szCs w:val="24"/>
          <w:lang w:eastAsia="en-GB"/>
        </w:rPr>
      </w:pPr>
      <w:r w:rsidRPr="007C749C">
        <w:rPr>
          <w:rFonts w:ascii="Calibri" w:eastAsia="Times New Roman" w:hAnsi="Calibri" w:cs="Times New Roman"/>
          <w:sz w:val="24"/>
          <w:szCs w:val="24"/>
          <w:lang w:eastAsia="en-GB"/>
        </w:rPr>
        <w:t xml:space="preserve">However, the East Midlands </w:t>
      </w:r>
      <w:r>
        <w:rPr>
          <w:rFonts w:ascii="Calibri" w:eastAsia="Times New Roman" w:hAnsi="Calibri" w:cs="Times New Roman"/>
          <w:sz w:val="24"/>
          <w:szCs w:val="24"/>
          <w:lang w:eastAsia="en-GB"/>
        </w:rPr>
        <w:t xml:space="preserve">EA </w:t>
      </w:r>
      <w:r w:rsidRPr="007C749C">
        <w:rPr>
          <w:rFonts w:ascii="Calibri" w:eastAsia="Times New Roman" w:hAnsi="Calibri" w:cs="Times New Roman"/>
          <w:sz w:val="24"/>
          <w:szCs w:val="24"/>
          <w:lang w:eastAsia="en-GB"/>
        </w:rPr>
        <w:t xml:space="preserve">had larger error for the age-sex by LA variable, this variable is not available in the table as it has 245 categories. For the assessment of CO with the original unadjusted census data the TAE (based on biases calculated as in below table) was around </w:t>
      </w:r>
      <w:r>
        <w:rPr>
          <w:rFonts w:ascii="Calibri" w:eastAsia="Times New Roman" w:hAnsi="Calibri" w:cs="Times New Roman"/>
          <w:sz w:val="24"/>
          <w:szCs w:val="24"/>
          <w:lang w:eastAsia="en-GB"/>
        </w:rPr>
        <w:t>125</w:t>
      </w:r>
      <w:r w:rsidRPr="007C749C">
        <w:rPr>
          <w:rFonts w:ascii="Calibri" w:eastAsia="Times New Roman" w:hAnsi="Calibri" w:cs="Times New Roman"/>
          <w:sz w:val="24"/>
          <w:szCs w:val="24"/>
          <w:lang w:eastAsia="en-GB"/>
        </w:rPr>
        <w:t xml:space="preserve"> and after removing a random selection of persons from the unadjusted data it was around 1125. Again, this is spread across the 245 categories</w:t>
      </w:r>
      <w:r>
        <w:rPr>
          <w:rFonts w:ascii="Calibri" w:eastAsia="Times New Roman" w:hAnsi="Calibri" w:cs="Times New Roman"/>
          <w:sz w:val="24"/>
          <w:szCs w:val="24"/>
          <w:lang w:eastAsia="en-GB"/>
        </w:rPr>
        <w:t xml:space="preserve"> although not always evenly.</w:t>
      </w:r>
    </w:p>
    <w:p w14:paraId="003C9C74" w14:textId="77777777" w:rsidR="00BF399A" w:rsidRPr="002A5065" w:rsidRDefault="00BF399A" w:rsidP="00BF399A">
      <w:pPr>
        <w:spacing w:before="120" w:line="240" w:lineRule="auto"/>
        <w:jc w:val="both"/>
        <w:rPr>
          <w:color w:val="FF0000"/>
          <w:sz w:val="24"/>
          <w:szCs w:val="24"/>
        </w:rPr>
      </w:pPr>
      <w:r>
        <w:rPr>
          <w:sz w:val="24"/>
          <w:szCs w:val="24"/>
        </w:rPr>
        <w:t xml:space="preserve">Although the increase in TAE for the East Midlands area is substantial, it is </w:t>
      </w:r>
      <w:proofErr w:type="gramStart"/>
      <w:r>
        <w:rPr>
          <w:sz w:val="24"/>
          <w:szCs w:val="24"/>
        </w:rPr>
        <w:t>similar to</w:t>
      </w:r>
      <w:proofErr w:type="gramEnd"/>
      <w:r>
        <w:rPr>
          <w:sz w:val="24"/>
          <w:szCs w:val="24"/>
        </w:rPr>
        <w:t xml:space="preserve"> that from the 2011 methods.</w:t>
      </w:r>
      <w:r>
        <w:rPr>
          <w:color w:val="FF0000"/>
          <w:sz w:val="24"/>
          <w:szCs w:val="24"/>
        </w:rPr>
        <w:t xml:space="preserve"> </w:t>
      </w:r>
      <w:r w:rsidRPr="004E1CCA">
        <w:rPr>
          <w:sz w:val="24"/>
          <w:szCs w:val="24"/>
        </w:rPr>
        <w:t xml:space="preserve">The greater risk associated with a change in coverage patterns is demonstrated by </w:t>
      </w:r>
      <w:r w:rsidRPr="00E61D59">
        <w:t>OL13WALT</w:t>
      </w:r>
      <w:r w:rsidRPr="00E61D59">
        <w:rPr>
          <w:sz w:val="24"/>
          <w:szCs w:val="24"/>
        </w:rPr>
        <w:t xml:space="preserve"> </w:t>
      </w:r>
      <w:r w:rsidRPr="00E408DA">
        <w:rPr>
          <w:sz w:val="24"/>
          <w:szCs w:val="24"/>
        </w:rPr>
        <w:t>(</w:t>
      </w:r>
      <w:r>
        <w:rPr>
          <w:sz w:val="24"/>
          <w:szCs w:val="24"/>
        </w:rPr>
        <w:t>O</w:t>
      </w:r>
      <w:r w:rsidRPr="00E408DA">
        <w:rPr>
          <w:sz w:val="24"/>
          <w:szCs w:val="24"/>
        </w:rPr>
        <w:t>uter London, Waltham Forest</w:t>
      </w:r>
      <w:r>
        <w:rPr>
          <w:sz w:val="24"/>
          <w:szCs w:val="24"/>
        </w:rPr>
        <w:t>).</w:t>
      </w:r>
    </w:p>
    <w:p w14:paraId="304AC0CB" w14:textId="77777777" w:rsidR="00BF399A" w:rsidRDefault="00BF399A" w:rsidP="00BF399A">
      <w:pPr>
        <w:spacing w:before="120" w:line="240" w:lineRule="auto"/>
        <w:rPr>
          <w:sz w:val="24"/>
          <w:szCs w:val="24"/>
        </w:rPr>
      </w:pPr>
      <w:r w:rsidRPr="00E61D59">
        <w:rPr>
          <w:sz w:val="24"/>
          <w:szCs w:val="24"/>
        </w:rPr>
        <w:t xml:space="preserve">The 2021 adjustment strategy assumes that there is a net under coverage in the unadjusted census tables and currently does not cater for a situation where the total population for a benchmarked variable is greater in the unadjusted census database than in the coverage estimate (benchmark).   The CO method adds households to meet both person and household level benchmarks but does not remove households. As described above when the number of persons missed from counted households in the estimation area </w:t>
      </w:r>
      <w:r w:rsidRPr="00E61D59">
        <w:t>OL13WALT</w:t>
      </w:r>
      <w:r w:rsidRPr="00E61D59">
        <w:rPr>
          <w:sz w:val="24"/>
          <w:szCs w:val="24"/>
        </w:rPr>
        <w:t xml:space="preserve"> </w:t>
      </w:r>
      <w:r w:rsidRPr="00E408DA">
        <w:rPr>
          <w:sz w:val="24"/>
          <w:szCs w:val="24"/>
        </w:rPr>
        <w:t>(outer London, Waltham Forest</w:t>
      </w:r>
      <w:r w:rsidRPr="00E61D59">
        <w:rPr>
          <w:sz w:val="24"/>
          <w:szCs w:val="24"/>
        </w:rPr>
        <w:t xml:space="preserve"> was increased by more than 50% of the 2011 figure</w:t>
      </w:r>
      <w:r>
        <w:rPr>
          <w:sz w:val="24"/>
          <w:szCs w:val="24"/>
        </w:rPr>
        <w:t>,</w:t>
      </w:r>
      <w:r w:rsidRPr="00E61D59">
        <w:rPr>
          <w:sz w:val="24"/>
          <w:szCs w:val="24"/>
        </w:rPr>
        <w:t xml:space="preserve"> the number of households of size 2 persons were greater than the coverage estimation benchmarks for this variable.</w:t>
      </w:r>
      <w:r>
        <w:rPr>
          <w:sz w:val="24"/>
          <w:szCs w:val="24"/>
        </w:rPr>
        <w:t xml:space="preserve"> Analysis of another EA showed that the number of households of both size 1 and 2 were greater than the coverage estimation benchmark.</w:t>
      </w:r>
      <w:r w:rsidRPr="00E61D59">
        <w:rPr>
          <w:sz w:val="24"/>
          <w:szCs w:val="24"/>
        </w:rPr>
        <w:t xml:space="preserve"> </w:t>
      </w:r>
      <w:r>
        <w:rPr>
          <w:sz w:val="24"/>
          <w:szCs w:val="24"/>
        </w:rPr>
        <w:t>Although in practice it may be unlikely, we will need to</w:t>
      </w:r>
      <w:r w:rsidRPr="00E61D59">
        <w:rPr>
          <w:sz w:val="24"/>
          <w:szCs w:val="24"/>
        </w:rPr>
        <w:t xml:space="preserve"> investigate a contingency strategy for </w:t>
      </w:r>
      <w:r>
        <w:rPr>
          <w:sz w:val="24"/>
          <w:szCs w:val="24"/>
        </w:rPr>
        <w:t xml:space="preserve">a scenario that results in a net over-coverage in the individual benchmark variables. </w:t>
      </w:r>
    </w:p>
    <w:p w14:paraId="3ED2FD7F" w14:textId="2BAE1EFC" w:rsidR="00BF399A" w:rsidRDefault="00BF399A" w:rsidP="00BF399A">
      <w:pP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S</w:t>
      </w:r>
      <w:r w:rsidRPr="000206D1">
        <w:rPr>
          <w:rFonts w:ascii="Calibri" w:eastAsia="Times New Roman" w:hAnsi="Calibri" w:cs="Times New Roman"/>
          <w:b/>
          <w:sz w:val="24"/>
          <w:szCs w:val="24"/>
          <w:lang w:eastAsia="en-GB"/>
        </w:rPr>
        <w:t>ection 4</w:t>
      </w:r>
      <w:r w:rsidR="002656CE">
        <w:rPr>
          <w:rFonts w:ascii="Calibri" w:eastAsia="Times New Roman" w:hAnsi="Calibri" w:cs="Times New Roman"/>
          <w:b/>
          <w:sz w:val="24"/>
          <w:szCs w:val="24"/>
          <w:lang w:eastAsia="en-GB"/>
        </w:rPr>
        <w:t xml:space="preserve">   P</w:t>
      </w:r>
      <w:r w:rsidRPr="000206D1">
        <w:rPr>
          <w:rFonts w:ascii="Calibri" w:eastAsia="Times New Roman" w:hAnsi="Calibri" w:cs="Times New Roman"/>
          <w:b/>
          <w:sz w:val="24"/>
          <w:szCs w:val="24"/>
          <w:lang w:eastAsia="en-GB"/>
        </w:rPr>
        <w:t xml:space="preserve">erformance of the CO methods when using LA benchmarks and selecting from a LA donor pool rather than EA areas. </w:t>
      </w:r>
    </w:p>
    <w:p w14:paraId="3F53B985" w14:textId="77777777" w:rsidR="00BF399A" w:rsidRPr="004E33C1" w:rsidRDefault="00BF399A" w:rsidP="00BF399A">
      <w:pPr>
        <w:spacing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Three LAs were selected from the same EAs for this initial analysis. </w:t>
      </w:r>
      <w:r w:rsidRPr="004E33C1">
        <w:rPr>
          <w:rFonts w:ascii="Calibri" w:eastAsia="Times New Roman" w:hAnsi="Calibri" w:cs="Times New Roman"/>
          <w:sz w:val="24"/>
          <w:szCs w:val="24"/>
          <w:lang w:eastAsia="en-GB"/>
        </w:rPr>
        <w:t xml:space="preserve">The Inner and Outer London </w:t>
      </w:r>
      <w:r>
        <w:rPr>
          <w:rFonts w:ascii="Calibri" w:eastAsia="Times New Roman" w:hAnsi="Calibri" w:cs="Times New Roman"/>
          <w:sz w:val="24"/>
          <w:szCs w:val="24"/>
          <w:lang w:eastAsia="en-GB"/>
        </w:rPr>
        <w:t xml:space="preserve">EAs </w:t>
      </w:r>
      <w:r w:rsidRPr="004E33C1">
        <w:rPr>
          <w:rFonts w:ascii="Calibri" w:eastAsia="Times New Roman" w:hAnsi="Calibri" w:cs="Times New Roman"/>
          <w:sz w:val="24"/>
          <w:szCs w:val="24"/>
          <w:lang w:eastAsia="en-GB"/>
        </w:rPr>
        <w:t xml:space="preserve">that have been used in </w:t>
      </w:r>
      <w:r>
        <w:rPr>
          <w:rFonts w:ascii="Calibri" w:eastAsia="Times New Roman" w:hAnsi="Calibri" w:cs="Times New Roman"/>
          <w:sz w:val="24"/>
          <w:szCs w:val="24"/>
          <w:lang w:eastAsia="en-GB"/>
        </w:rPr>
        <w:t xml:space="preserve">the </w:t>
      </w:r>
      <w:r w:rsidRPr="004E33C1">
        <w:rPr>
          <w:rFonts w:ascii="Calibri" w:eastAsia="Times New Roman" w:hAnsi="Calibri" w:cs="Times New Roman"/>
          <w:sz w:val="24"/>
          <w:szCs w:val="24"/>
          <w:lang w:eastAsia="en-GB"/>
        </w:rPr>
        <w:t xml:space="preserve">CO research are both equivalent to one LA but are large enough </w:t>
      </w:r>
      <w:r>
        <w:rPr>
          <w:rFonts w:ascii="Calibri" w:eastAsia="Times New Roman" w:hAnsi="Calibri" w:cs="Times New Roman"/>
          <w:sz w:val="24"/>
          <w:szCs w:val="24"/>
          <w:lang w:eastAsia="en-GB"/>
        </w:rPr>
        <w:t>in size</w:t>
      </w:r>
      <w:r w:rsidRPr="004E33C1">
        <w:rPr>
          <w:rFonts w:ascii="Calibri" w:eastAsia="Times New Roman" w:hAnsi="Calibri" w:cs="Times New Roman"/>
          <w:sz w:val="24"/>
          <w:szCs w:val="24"/>
          <w:lang w:eastAsia="en-GB"/>
        </w:rPr>
        <w:t xml:space="preserve"> to be considered an EA for 2011 Census. </w:t>
      </w:r>
      <w:r>
        <w:rPr>
          <w:rFonts w:ascii="Calibri" w:eastAsia="Times New Roman" w:hAnsi="Calibri" w:cs="Times New Roman"/>
          <w:sz w:val="24"/>
          <w:szCs w:val="24"/>
          <w:lang w:eastAsia="en-GB"/>
        </w:rPr>
        <w:t>As the objective of the analysis was to test the CO within a smaller geographical area than previously,</w:t>
      </w:r>
      <w:r w:rsidRPr="004E33C1">
        <w:rPr>
          <w:rFonts w:ascii="Calibri" w:eastAsia="Times New Roman" w:hAnsi="Calibri" w:cs="Times New Roman"/>
          <w:sz w:val="24"/>
          <w:szCs w:val="24"/>
          <w:lang w:eastAsia="en-GB"/>
        </w:rPr>
        <w:t xml:space="preserve"> one </w:t>
      </w:r>
      <w:r>
        <w:rPr>
          <w:rFonts w:ascii="Calibri" w:eastAsia="Times New Roman" w:hAnsi="Calibri" w:cs="Times New Roman"/>
          <w:sz w:val="24"/>
          <w:szCs w:val="24"/>
          <w:lang w:eastAsia="en-GB"/>
        </w:rPr>
        <w:t xml:space="preserve">LA </w:t>
      </w:r>
      <w:r w:rsidRPr="004E33C1">
        <w:rPr>
          <w:rFonts w:ascii="Calibri" w:eastAsia="Times New Roman" w:hAnsi="Calibri" w:cs="Times New Roman"/>
          <w:sz w:val="24"/>
          <w:szCs w:val="24"/>
          <w:lang w:eastAsia="en-GB"/>
        </w:rPr>
        <w:t xml:space="preserve">was selected from each </w:t>
      </w:r>
      <w:r>
        <w:rPr>
          <w:rFonts w:ascii="Calibri" w:eastAsia="Times New Roman" w:hAnsi="Calibri" w:cs="Times New Roman"/>
          <w:sz w:val="24"/>
          <w:szCs w:val="24"/>
          <w:lang w:eastAsia="en-GB"/>
        </w:rPr>
        <w:t xml:space="preserve">of </w:t>
      </w:r>
      <w:r w:rsidRPr="004E33C1">
        <w:rPr>
          <w:rFonts w:ascii="Calibri" w:eastAsia="Times New Roman" w:hAnsi="Calibri" w:cs="Times New Roman"/>
          <w:sz w:val="24"/>
          <w:szCs w:val="24"/>
          <w:lang w:eastAsia="en-GB"/>
        </w:rPr>
        <w:t xml:space="preserve">the 3 </w:t>
      </w:r>
      <w:r>
        <w:rPr>
          <w:rFonts w:ascii="Calibri" w:eastAsia="Times New Roman" w:hAnsi="Calibri" w:cs="Times New Roman"/>
          <w:sz w:val="24"/>
          <w:szCs w:val="24"/>
          <w:lang w:eastAsia="en-GB"/>
        </w:rPr>
        <w:t>EAs</w:t>
      </w:r>
      <w:r w:rsidRPr="004E33C1">
        <w:rPr>
          <w:rFonts w:ascii="Calibri" w:eastAsia="Times New Roman" w:hAnsi="Calibri" w:cs="Times New Roman"/>
          <w:sz w:val="24"/>
          <w:szCs w:val="24"/>
          <w:lang w:eastAsia="en-GB"/>
        </w:rPr>
        <w:t xml:space="preserve"> that contained more than one LA. </w:t>
      </w:r>
      <w:r>
        <w:rPr>
          <w:rFonts w:ascii="Calibri" w:eastAsia="Times New Roman" w:hAnsi="Calibri" w:cs="Times New Roman"/>
          <w:sz w:val="24"/>
          <w:szCs w:val="24"/>
          <w:lang w:eastAsia="en-GB"/>
        </w:rPr>
        <w:t>W</w:t>
      </w:r>
      <w:r w:rsidRPr="004E33C1">
        <w:rPr>
          <w:rFonts w:ascii="Calibri" w:eastAsia="Times New Roman" w:hAnsi="Calibri" w:cs="Times New Roman"/>
          <w:sz w:val="24"/>
          <w:szCs w:val="24"/>
          <w:lang w:eastAsia="en-GB"/>
        </w:rPr>
        <w:t xml:space="preserve">e </w:t>
      </w:r>
      <w:r>
        <w:rPr>
          <w:rFonts w:ascii="Calibri" w:eastAsia="Times New Roman" w:hAnsi="Calibri" w:cs="Times New Roman"/>
          <w:sz w:val="24"/>
          <w:szCs w:val="24"/>
          <w:lang w:eastAsia="en-GB"/>
        </w:rPr>
        <w:t>u</w:t>
      </w:r>
      <w:r w:rsidRPr="004E33C1">
        <w:rPr>
          <w:rFonts w:ascii="Calibri" w:eastAsia="Times New Roman" w:hAnsi="Calibri" w:cs="Times New Roman"/>
          <w:sz w:val="24"/>
          <w:szCs w:val="24"/>
          <w:lang w:eastAsia="en-GB"/>
        </w:rPr>
        <w:t xml:space="preserve">sed the adjusted census estimates </w:t>
      </w:r>
      <w:r>
        <w:rPr>
          <w:rFonts w:ascii="Calibri" w:eastAsia="Times New Roman" w:hAnsi="Calibri" w:cs="Times New Roman"/>
          <w:sz w:val="24"/>
          <w:szCs w:val="24"/>
          <w:lang w:eastAsia="en-GB"/>
        </w:rPr>
        <w:t xml:space="preserve">to obtain LA benchmarks </w:t>
      </w:r>
      <w:r w:rsidRPr="004E33C1">
        <w:rPr>
          <w:rFonts w:ascii="Calibri" w:eastAsia="Times New Roman" w:hAnsi="Calibri" w:cs="Times New Roman"/>
          <w:sz w:val="24"/>
          <w:szCs w:val="24"/>
          <w:lang w:eastAsia="en-GB"/>
        </w:rPr>
        <w:t xml:space="preserve">for </w:t>
      </w:r>
      <w:proofErr w:type="gramStart"/>
      <w:r w:rsidRPr="004E33C1">
        <w:rPr>
          <w:rFonts w:ascii="Calibri" w:eastAsia="Times New Roman" w:hAnsi="Calibri" w:cs="Times New Roman"/>
          <w:sz w:val="24"/>
          <w:szCs w:val="24"/>
          <w:lang w:eastAsia="en-GB"/>
        </w:rPr>
        <w:t>all of</w:t>
      </w:r>
      <w:proofErr w:type="gramEnd"/>
      <w:r w:rsidRPr="004E33C1">
        <w:rPr>
          <w:rFonts w:ascii="Calibri" w:eastAsia="Times New Roman" w:hAnsi="Calibri" w:cs="Times New Roman"/>
          <w:sz w:val="24"/>
          <w:szCs w:val="24"/>
          <w:lang w:eastAsia="en-GB"/>
        </w:rPr>
        <w:t xml:space="preserve"> the variables </w:t>
      </w:r>
      <w:r>
        <w:rPr>
          <w:rFonts w:ascii="Calibri" w:eastAsia="Times New Roman" w:hAnsi="Calibri" w:cs="Times New Roman"/>
          <w:sz w:val="24"/>
          <w:szCs w:val="24"/>
          <w:lang w:eastAsia="en-GB"/>
        </w:rPr>
        <w:t>previously used</w:t>
      </w:r>
      <w:r w:rsidRPr="00E44732">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a</w:t>
      </w:r>
      <w:r w:rsidRPr="004E33C1">
        <w:rPr>
          <w:rFonts w:ascii="Calibri" w:eastAsia="Times New Roman" w:hAnsi="Calibri" w:cs="Times New Roman"/>
          <w:sz w:val="24"/>
          <w:szCs w:val="24"/>
          <w:lang w:eastAsia="en-GB"/>
        </w:rPr>
        <w:t xml:space="preserve">s </w:t>
      </w:r>
      <w:r>
        <w:rPr>
          <w:rFonts w:ascii="Calibri" w:eastAsia="Times New Roman" w:hAnsi="Calibri" w:cs="Times New Roman"/>
          <w:sz w:val="24"/>
          <w:szCs w:val="24"/>
          <w:lang w:eastAsia="en-GB"/>
        </w:rPr>
        <w:t xml:space="preserve">at the time </w:t>
      </w:r>
      <w:r w:rsidRPr="004E33C1">
        <w:rPr>
          <w:rFonts w:ascii="Calibri" w:eastAsia="Times New Roman" w:hAnsi="Calibri" w:cs="Times New Roman"/>
          <w:sz w:val="24"/>
          <w:szCs w:val="24"/>
          <w:lang w:eastAsia="en-GB"/>
        </w:rPr>
        <w:t xml:space="preserve">2011 coverage estimates were only available at LA level for the age-sex variable. This means that we cannot make comparisons to the adjusted 2011 Census estimates, but the intention is to later use simulated coverage estimates </w:t>
      </w:r>
      <w:r>
        <w:rPr>
          <w:rFonts w:ascii="Calibri" w:eastAsia="Times New Roman" w:hAnsi="Calibri" w:cs="Times New Roman"/>
          <w:sz w:val="24"/>
          <w:szCs w:val="24"/>
          <w:lang w:eastAsia="en-GB"/>
        </w:rPr>
        <w:t xml:space="preserve">to test the methods further when run </w:t>
      </w:r>
      <w:r w:rsidRPr="004E33C1">
        <w:rPr>
          <w:rFonts w:ascii="Calibri" w:eastAsia="Times New Roman" w:hAnsi="Calibri" w:cs="Times New Roman"/>
          <w:sz w:val="24"/>
          <w:szCs w:val="24"/>
          <w:lang w:eastAsia="en-GB"/>
        </w:rPr>
        <w:t xml:space="preserve">for LAs and </w:t>
      </w:r>
      <w:r>
        <w:rPr>
          <w:rFonts w:ascii="Calibri" w:eastAsia="Times New Roman" w:hAnsi="Calibri" w:cs="Times New Roman"/>
          <w:sz w:val="24"/>
          <w:szCs w:val="24"/>
          <w:lang w:eastAsia="en-GB"/>
        </w:rPr>
        <w:t xml:space="preserve">using </w:t>
      </w:r>
      <w:r w:rsidRPr="004E33C1">
        <w:rPr>
          <w:rFonts w:ascii="Calibri" w:eastAsia="Times New Roman" w:hAnsi="Calibri" w:cs="Times New Roman"/>
          <w:sz w:val="24"/>
          <w:szCs w:val="24"/>
          <w:lang w:eastAsia="en-GB"/>
        </w:rPr>
        <w:t>additional variables.</w:t>
      </w:r>
    </w:p>
    <w:p w14:paraId="0A00E8A1" w14:textId="77777777" w:rsidR="00BF399A" w:rsidRDefault="00BF399A" w:rsidP="00BF399A">
      <w:pPr>
        <w:spacing w:line="240" w:lineRule="auto"/>
        <w:rPr>
          <w:sz w:val="24"/>
        </w:rPr>
      </w:pPr>
      <w:r w:rsidRPr="009C5E71">
        <w:rPr>
          <w:sz w:val="24"/>
        </w:rPr>
        <w:t>We found that</w:t>
      </w:r>
      <w:r>
        <w:rPr>
          <w:sz w:val="24"/>
        </w:rPr>
        <w:t xml:space="preserve"> there was minimal bias across the age-sex, tenure, hard to count index, activity last week and ethnicity benchmark variables, in fact for the one LAs selected in the Yorkshire </w:t>
      </w:r>
      <w:r>
        <w:rPr>
          <w:sz w:val="24"/>
        </w:rPr>
        <w:lastRenderedPageBreak/>
        <w:t xml:space="preserve">and Humberside estimation area there was no bias across all 6 benchmark variables (including household size). Bias was found for the 2 LAs in the East Midlands and South West EAs, although for the latter the bias was extremely small. </w:t>
      </w:r>
    </w:p>
    <w:p w14:paraId="5FE91CA3" w14:textId="77777777" w:rsidR="00BF399A" w:rsidRDefault="00BF399A" w:rsidP="00BF399A">
      <w:pPr>
        <w:rPr>
          <w:b/>
          <w:sz w:val="24"/>
        </w:rPr>
      </w:pPr>
      <w:r>
        <w:rPr>
          <w:b/>
          <w:sz w:val="24"/>
        </w:rPr>
        <w:t xml:space="preserve">Table </w:t>
      </w:r>
      <w:r w:rsidRPr="00195D26">
        <w:rPr>
          <w:b/>
          <w:sz w:val="24"/>
        </w:rPr>
        <w:t>5</w:t>
      </w:r>
      <w:r>
        <w:rPr>
          <w:b/>
          <w:sz w:val="24"/>
        </w:rPr>
        <w:t xml:space="preserve">: Estimates of bias and variance for the CO results for LA 17UH in EM05NSDE in the East Midlands, household size as five level </w:t>
      </w:r>
      <w:proofErr w:type="gramStart"/>
      <w:r>
        <w:rPr>
          <w:b/>
          <w:sz w:val="24"/>
        </w:rPr>
        <w:t>benchmark</w:t>
      </w:r>
      <w:proofErr w:type="gramEnd"/>
      <w:r>
        <w:rPr>
          <w:b/>
          <w:sz w:val="24"/>
        </w:rPr>
        <w:t>, LA level benchmarks and LA level donor pool used in CO process</w:t>
      </w:r>
      <w:r w:rsidRPr="00E93D1A">
        <w:t xml:space="preserve"> </w:t>
      </w:r>
    </w:p>
    <w:tbl>
      <w:tblPr>
        <w:tblStyle w:val="TableGrid"/>
        <w:tblpPr w:leftFromText="180" w:rightFromText="180" w:vertAnchor="text" w:horzAnchor="margin" w:tblpY="44"/>
        <w:tblW w:w="9159" w:type="dxa"/>
        <w:tblInd w:w="0" w:type="dxa"/>
        <w:tblLook w:val="04A0" w:firstRow="1" w:lastRow="0" w:firstColumn="1" w:lastColumn="0" w:noHBand="0" w:noVBand="1"/>
      </w:tblPr>
      <w:tblGrid>
        <w:gridCol w:w="2263"/>
        <w:gridCol w:w="2694"/>
        <w:gridCol w:w="4202"/>
      </w:tblGrid>
      <w:tr w:rsidR="00BF399A" w14:paraId="15EC16AD" w14:textId="77777777" w:rsidTr="00D308D9">
        <w:tc>
          <w:tcPr>
            <w:tcW w:w="2263" w:type="dxa"/>
            <w:hideMark/>
          </w:tcPr>
          <w:p w14:paraId="0CFC833E" w14:textId="77777777" w:rsidR="00BF399A" w:rsidRDefault="00BF399A" w:rsidP="00D308D9">
            <w:r>
              <w:t>Variable</w:t>
            </w:r>
          </w:p>
        </w:tc>
        <w:tc>
          <w:tcPr>
            <w:tcW w:w="2694" w:type="dxa"/>
            <w:hideMark/>
          </w:tcPr>
          <w:p w14:paraId="4E4395D3" w14:textId="77777777" w:rsidR="00BF399A" w:rsidRDefault="00BF399A" w:rsidP="00D308D9">
            <w:r>
              <w:t>Bias (= average of (CO count - benchmark value))</w:t>
            </w:r>
          </w:p>
        </w:tc>
        <w:tc>
          <w:tcPr>
            <w:tcW w:w="4202" w:type="dxa"/>
            <w:hideMark/>
          </w:tcPr>
          <w:p w14:paraId="11D79141" w14:textId="77777777" w:rsidR="00BF399A" w:rsidRDefault="00BF399A" w:rsidP="00D308D9">
            <w:r>
              <w:t>95% CI width for 100 CO counts</w:t>
            </w:r>
          </w:p>
        </w:tc>
      </w:tr>
      <w:tr w:rsidR="00BF399A" w14:paraId="6C60D6F1" w14:textId="77777777" w:rsidTr="00D308D9">
        <w:trPr>
          <w:trHeight w:val="297"/>
        </w:trPr>
        <w:tc>
          <w:tcPr>
            <w:tcW w:w="2263" w:type="dxa"/>
            <w:hideMark/>
          </w:tcPr>
          <w:p w14:paraId="1D2E96D5" w14:textId="77777777" w:rsidR="00BF399A" w:rsidRDefault="00BF399A" w:rsidP="00D308D9">
            <w:pPr>
              <w:rPr>
                <w:b/>
              </w:rPr>
            </w:pPr>
            <w:r>
              <w:rPr>
                <w:b/>
              </w:rPr>
              <w:t>Tenure</w:t>
            </w:r>
          </w:p>
        </w:tc>
        <w:tc>
          <w:tcPr>
            <w:tcW w:w="2694" w:type="dxa"/>
          </w:tcPr>
          <w:p w14:paraId="1F5D34C2" w14:textId="77777777" w:rsidR="00BF399A" w:rsidRDefault="00BF399A" w:rsidP="00D308D9">
            <w:pPr>
              <w:jc w:val="right"/>
              <w:rPr>
                <w:rFonts w:ascii="Calibri" w:hAnsi="Calibri"/>
                <w:color w:val="000000"/>
                <w:lang w:val="en-GB"/>
              </w:rPr>
            </w:pPr>
          </w:p>
        </w:tc>
        <w:tc>
          <w:tcPr>
            <w:tcW w:w="4202" w:type="dxa"/>
          </w:tcPr>
          <w:p w14:paraId="55BDC5F9" w14:textId="77777777" w:rsidR="00BF399A" w:rsidRDefault="00BF399A" w:rsidP="00D308D9"/>
        </w:tc>
      </w:tr>
      <w:tr w:rsidR="00BF399A" w14:paraId="3245A4CC" w14:textId="77777777" w:rsidTr="00D308D9">
        <w:tc>
          <w:tcPr>
            <w:tcW w:w="2263" w:type="dxa"/>
            <w:hideMark/>
          </w:tcPr>
          <w:p w14:paraId="5A22D48F" w14:textId="77777777" w:rsidR="00BF399A" w:rsidRDefault="00BF399A" w:rsidP="00D308D9">
            <w:r>
              <w:t>Owner Occupied</w:t>
            </w:r>
          </w:p>
        </w:tc>
        <w:tc>
          <w:tcPr>
            <w:tcW w:w="2694" w:type="dxa"/>
          </w:tcPr>
          <w:p w14:paraId="05415947"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370ABEC7" w14:textId="77777777" w:rsidR="00BF399A" w:rsidRDefault="00BF399A" w:rsidP="00D308D9">
            <w:pPr>
              <w:jc w:val="right"/>
              <w:rPr>
                <w:rFonts w:ascii="Calibri" w:hAnsi="Calibri"/>
                <w:color w:val="000000"/>
                <w:lang w:val="en-GB"/>
              </w:rPr>
            </w:pPr>
            <w:r>
              <w:rPr>
                <w:rFonts w:ascii="Calibri" w:hAnsi="Calibri"/>
                <w:color w:val="000000"/>
              </w:rPr>
              <w:t>0</w:t>
            </w:r>
          </w:p>
        </w:tc>
      </w:tr>
      <w:tr w:rsidR="00BF399A" w14:paraId="1F50AAC7" w14:textId="77777777" w:rsidTr="00D308D9">
        <w:tc>
          <w:tcPr>
            <w:tcW w:w="2263" w:type="dxa"/>
            <w:hideMark/>
          </w:tcPr>
          <w:p w14:paraId="34CFEB0B" w14:textId="77777777" w:rsidR="00BF399A" w:rsidRDefault="00BF399A" w:rsidP="00D308D9">
            <w:r>
              <w:t>Owns with mortgage or loan</w:t>
            </w:r>
          </w:p>
        </w:tc>
        <w:tc>
          <w:tcPr>
            <w:tcW w:w="2694" w:type="dxa"/>
          </w:tcPr>
          <w:p w14:paraId="2778E308"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63AA822C" w14:textId="77777777" w:rsidR="00BF399A" w:rsidRDefault="00BF399A" w:rsidP="00D308D9">
            <w:pPr>
              <w:jc w:val="right"/>
              <w:rPr>
                <w:rFonts w:ascii="Calibri" w:hAnsi="Calibri"/>
                <w:color w:val="000000"/>
              </w:rPr>
            </w:pPr>
            <w:r>
              <w:rPr>
                <w:rFonts w:ascii="Calibri" w:hAnsi="Calibri"/>
                <w:color w:val="000000"/>
              </w:rPr>
              <w:t>0</w:t>
            </w:r>
          </w:p>
        </w:tc>
      </w:tr>
      <w:tr w:rsidR="00BF399A" w14:paraId="756993A9" w14:textId="77777777" w:rsidTr="00D308D9">
        <w:tc>
          <w:tcPr>
            <w:tcW w:w="2263" w:type="dxa"/>
            <w:hideMark/>
          </w:tcPr>
          <w:p w14:paraId="74B45122" w14:textId="77777777" w:rsidR="00BF399A" w:rsidRDefault="00BF399A" w:rsidP="00D308D9">
            <w:r>
              <w:t>Shared ownership</w:t>
            </w:r>
          </w:p>
        </w:tc>
        <w:tc>
          <w:tcPr>
            <w:tcW w:w="2694" w:type="dxa"/>
          </w:tcPr>
          <w:p w14:paraId="44997213"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4DBA0BF5" w14:textId="77777777" w:rsidR="00BF399A" w:rsidRDefault="00BF399A" w:rsidP="00D308D9">
            <w:pPr>
              <w:jc w:val="right"/>
              <w:rPr>
                <w:rFonts w:ascii="Calibri" w:hAnsi="Calibri"/>
                <w:color w:val="000000"/>
              </w:rPr>
            </w:pPr>
            <w:r>
              <w:rPr>
                <w:rFonts w:ascii="Calibri" w:hAnsi="Calibri"/>
                <w:color w:val="000000"/>
              </w:rPr>
              <w:t>1</w:t>
            </w:r>
          </w:p>
        </w:tc>
      </w:tr>
      <w:tr w:rsidR="00BF399A" w14:paraId="5BB6D7B2" w14:textId="77777777" w:rsidTr="00D308D9">
        <w:tc>
          <w:tcPr>
            <w:tcW w:w="2263" w:type="dxa"/>
            <w:hideMark/>
          </w:tcPr>
          <w:p w14:paraId="6E52BC8B" w14:textId="77777777" w:rsidR="00BF399A" w:rsidRDefault="00BF399A" w:rsidP="00D308D9">
            <w:r>
              <w:t>Renting</w:t>
            </w:r>
          </w:p>
        </w:tc>
        <w:tc>
          <w:tcPr>
            <w:tcW w:w="2694" w:type="dxa"/>
          </w:tcPr>
          <w:p w14:paraId="77180DF7"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70DCA51A" w14:textId="77777777" w:rsidR="00BF399A" w:rsidRDefault="00BF399A" w:rsidP="00D308D9">
            <w:pPr>
              <w:jc w:val="right"/>
              <w:rPr>
                <w:rFonts w:ascii="Calibri" w:hAnsi="Calibri"/>
                <w:color w:val="000000"/>
              </w:rPr>
            </w:pPr>
            <w:r>
              <w:rPr>
                <w:rFonts w:ascii="Calibri" w:hAnsi="Calibri"/>
                <w:color w:val="000000"/>
              </w:rPr>
              <w:t>0</w:t>
            </w:r>
          </w:p>
        </w:tc>
      </w:tr>
      <w:tr w:rsidR="00BF399A" w14:paraId="28CE6D97" w14:textId="77777777" w:rsidTr="00D308D9">
        <w:tc>
          <w:tcPr>
            <w:tcW w:w="2263" w:type="dxa"/>
            <w:hideMark/>
          </w:tcPr>
          <w:p w14:paraId="107DAE3E" w14:textId="77777777" w:rsidR="00BF399A" w:rsidRDefault="00BF399A" w:rsidP="00D308D9">
            <w:r>
              <w:t>Rent free</w:t>
            </w:r>
          </w:p>
        </w:tc>
        <w:tc>
          <w:tcPr>
            <w:tcW w:w="2694" w:type="dxa"/>
          </w:tcPr>
          <w:p w14:paraId="40924D8D"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47B5E992" w14:textId="77777777" w:rsidR="00BF399A" w:rsidRDefault="00BF399A" w:rsidP="00D308D9">
            <w:pPr>
              <w:jc w:val="right"/>
              <w:rPr>
                <w:rFonts w:ascii="Calibri" w:hAnsi="Calibri"/>
                <w:color w:val="000000"/>
              </w:rPr>
            </w:pPr>
            <w:r>
              <w:rPr>
                <w:rFonts w:ascii="Calibri" w:hAnsi="Calibri"/>
                <w:color w:val="000000"/>
              </w:rPr>
              <w:t>0</w:t>
            </w:r>
          </w:p>
        </w:tc>
      </w:tr>
      <w:tr w:rsidR="00BF399A" w14:paraId="3AFE10FE" w14:textId="77777777" w:rsidTr="00D308D9">
        <w:tc>
          <w:tcPr>
            <w:tcW w:w="2263" w:type="dxa"/>
            <w:hideMark/>
          </w:tcPr>
          <w:p w14:paraId="124F14BF" w14:textId="77777777" w:rsidR="00BF399A" w:rsidRDefault="00BF399A" w:rsidP="00D308D9">
            <w:pPr>
              <w:rPr>
                <w:b/>
              </w:rPr>
            </w:pPr>
            <w:r>
              <w:rPr>
                <w:b/>
              </w:rPr>
              <w:t>Household size</w:t>
            </w:r>
          </w:p>
        </w:tc>
        <w:tc>
          <w:tcPr>
            <w:tcW w:w="2694" w:type="dxa"/>
          </w:tcPr>
          <w:p w14:paraId="7EDBA386" w14:textId="77777777" w:rsidR="00BF399A" w:rsidRDefault="00BF399A" w:rsidP="00D308D9"/>
        </w:tc>
        <w:tc>
          <w:tcPr>
            <w:tcW w:w="4202" w:type="dxa"/>
          </w:tcPr>
          <w:p w14:paraId="4B1D381A" w14:textId="77777777" w:rsidR="00BF399A" w:rsidRDefault="00BF399A" w:rsidP="00D308D9"/>
        </w:tc>
      </w:tr>
      <w:tr w:rsidR="00BF399A" w14:paraId="3DFD054D" w14:textId="77777777" w:rsidTr="00D308D9">
        <w:tc>
          <w:tcPr>
            <w:tcW w:w="2263" w:type="dxa"/>
            <w:hideMark/>
          </w:tcPr>
          <w:p w14:paraId="3FDEA80E" w14:textId="77777777" w:rsidR="00BF399A" w:rsidRDefault="00BF399A" w:rsidP="00D308D9">
            <w:r>
              <w:t>1</w:t>
            </w:r>
          </w:p>
        </w:tc>
        <w:tc>
          <w:tcPr>
            <w:tcW w:w="2694" w:type="dxa"/>
          </w:tcPr>
          <w:p w14:paraId="5BE1FB60" w14:textId="77777777" w:rsidR="00BF399A" w:rsidRDefault="00BF399A" w:rsidP="00D308D9">
            <w:pPr>
              <w:jc w:val="right"/>
              <w:rPr>
                <w:rFonts w:ascii="Calibri" w:hAnsi="Calibri"/>
                <w:color w:val="000000"/>
              </w:rPr>
            </w:pPr>
            <w:r>
              <w:rPr>
                <w:rFonts w:ascii="Calibri" w:hAnsi="Calibri"/>
                <w:color w:val="000000"/>
              </w:rPr>
              <w:t>-261</w:t>
            </w:r>
          </w:p>
        </w:tc>
        <w:tc>
          <w:tcPr>
            <w:tcW w:w="4202" w:type="dxa"/>
          </w:tcPr>
          <w:p w14:paraId="077566FF" w14:textId="77777777" w:rsidR="00BF399A" w:rsidRDefault="00BF399A" w:rsidP="00D308D9">
            <w:pPr>
              <w:jc w:val="right"/>
              <w:rPr>
                <w:rFonts w:ascii="Calibri" w:hAnsi="Calibri"/>
                <w:color w:val="000000"/>
                <w:lang w:val="en-GB"/>
              </w:rPr>
            </w:pPr>
            <w:r>
              <w:rPr>
                <w:rFonts w:ascii="Calibri" w:hAnsi="Calibri"/>
                <w:color w:val="000000"/>
              </w:rPr>
              <w:t>29</w:t>
            </w:r>
          </w:p>
        </w:tc>
      </w:tr>
      <w:tr w:rsidR="00BF399A" w14:paraId="5C629A51" w14:textId="77777777" w:rsidTr="00D308D9">
        <w:tc>
          <w:tcPr>
            <w:tcW w:w="2263" w:type="dxa"/>
            <w:hideMark/>
          </w:tcPr>
          <w:p w14:paraId="2EC12B72" w14:textId="77777777" w:rsidR="00BF399A" w:rsidRDefault="00BF399A" w:rsidP="00D308D9">
            <w:r>
              <w:t>2</w:t>
            </w:r>
          </w:p>
        </w:tc>
        <w:tc>
          <w:tcPr>
            <w:tcW w:w="2694" w:type="dxa"/>
          </w:tcPr>
          <w:p w14:paraId="43AC9166"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4E52DFDA" w14:textId="77777777" w:rsidR="00BF399A" w:rsidRDefault="00BF399A" w:rsidP="00D308D9">
            <w:pPr>
              <w:jc w:val="right"/>
              <w:rPr>
                <w:rFonts w:ascii="Calibri" w:hAnsi="Calibri"/>
                <w:color w:val="000000"/>
              </w:rPr>
            </w:pPr>
            <w:r>
              <w:rPr>
                <w:rFonts w:ascii="Calibri" w:hAnsi="Calibri"/>
                <w:color w:val="000000"/>
              </w:rPr>
              <w:t>3</w:t>
            </w:r>
          </w:p>
        </w:tc>
      </w:tr>
      <w:tr w:rsidR="00BF399A" w14:paraId="606E4314" w14:textId="77777777" w:rsidTr="00D308D9">
        <w:tc>
          <w:tcPr>
            <w:tcW w:w="2263" w:type="dxa"/>
            <w:hideMark/>
          </w:tcPr>
          <w:p w14:paraId="4DC6F363" w14:textId="77777777" w:rsidR="00BF399A" w:rsidRDefault="00BF399A" w:rsidP="00D308D9">
            <w:r>
              <w:t>3</w:t>
            </w:r>
          </w:p>
        </w:tc>
        <w:tc>
          <w:tcPr>
            <w:tcW w:w="2694" w:type="dxa"/>
          </w:tcPr>
          <w:p w14:paraId="6473EE43"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4E885D40" w14:textId="77777777" w:rsidR="00BF399A" w:rsidRDefault="00BF399A" w:rsidP="00D308D9">
            <w:pPr>
              <w:jc w:val="right"/>
              <w:rPr>
                <w:rFonts w:ascii="Calibri" w:hAnsi="Calibri"/>
                <w:color w:val="000000"/>
              </w:rPr>
            </w:pPr>
            <w:r>
              <w:rPr>
                <w:rFonts w:ascii="Calibri" w:hAnsi="Calibri"/>
                <w:color w:val="000000"/>
              </w:rPr>
              <w:t>2</w:t>
            </w:r>
          </w:p>
        </w:tc>
      </w:tr>
      <w:tr w:rsidR="00BF399A" w14:paraId="4575FC38" w14:textId="77777777" w:rsidTr="00D308D9">
        <w:tc>
          <w:tcPr>
            <w:tcW w:w="2263" w:type="dxa"/>
            <w:hideMark/>
          </w:tcPr>
          <w:p w14:paraId="01104683" w14:textId="77777777" w:rsidR="00BF399A" w:rsidRDefault="00BF399A" w:rsidP="00D308D9">
            <w:r>
              <w:t>4</w:t>
            </w:r>
          </w:p>
        </w:tc>
        <w:tc>
          <w:tcPr>
            <w:tcW w:w="2694" w:type="dxa"/>
          </w:tcPr>
          <w:p w14:paraId="686DC6CF" w14:textId="77777777" w:rsidR="00BF399A" w:rsidRDefault="00BF399A" w:rsidP="00D308D9">
            <w:pPr>
              <w:jc w:val="right"/>
              <w:rPr>
                <w:rFonts w:ascii="Calibri" w:hAnsi="Calibri"/>
                <w:color w:val="000000"/>
              </w:rPr>
            </w:pPr>
            <w:r>
              <w:rPr>
                <w:rFonts w:ascii="Calibri" w:hAnsi="Calibri"/>
                <w:color w:val="000000"/>
              </w:rPr>
              <w:t>13</w:t>
            </w:r>
          </w:p>
        </w:tc>
        <w:tc>
          <w:tcPr>
            <w:tcW w:w="4202" w:type="dxa"/>
          </w:tcPr>
          <w:p w14:paraId="5670EE62" w14:textId="77777777" w:rsidR="00BF399A" w:rsidRDefault="00BF399A" w:rsidP="00D308D9">
            <w:pPr>
              <w:jc w:val="right"/>
              <w:rPr>
                <w:rFonts w:ascii="Calibri" w:hAnsi="Calibri"/>
                <w:color w:val="000000"/>
              </w:rPr>
            </w:pPr>
            <w:r>
              <w:rPr>
                <w:rFonts w:ascii="Calibri" w:hAnsi="Calibri"/>
                <w:color w:val="000000"/>
              </w:rPr>
              <w:t>39</w:t>
            </w:r>
          </w:p>
        </w:tc>
      </w:tr>
      <w:tr w:rsidR="00BF399A" w14:paraId="710C2415" w14:textId="77777777" w:rsidTr="00D308D9">
        <w:tc>
          <w:tcPr>
            <w:tcW w:w="2263" w:type="dxa"/>
            <w:hideMark/>
          </w:tcPr>
          <w:p w14:paraId="5A59C948" w14:textId="77777777" w:rsidR="00BF399A" w:rsidRDefault="00BF399A" w:rsidP="00D308D9">
            <w:r>
              <w:t>5+</w:t>
            </w:r>
          </w:p>
        </w:tc>
        <w:tc>
          <w:tcPr>
            <w:tcW w:w="2694" w:type="dxa"/>
          </w:tcPr>
          <w:p w14:paraId="418BC04C" w14:textId="77777777" w:rsidR="00BF399A" w:rsidRDefault="00BF399A" w:rsidP="00D308D9">
            <w:pPr>
              <w:jc w:val="right"/>
              <w:rPr>
                <w:rFonts w:ascii="Calibri" w:hAnsi="Calibri"/>
                <w:color w:val="000000"/>
              </w:rPr>
            </w:pPr>
            <w:r>
              <w:rPr>
                <w:rFonts w:ascii="Calibri" w:hAnsi="Calibri"/>
                <w:color w:val="000000"/>
              </w:rPr>
              <w:t>248</w:t>
            </w:r>
          </w:p>
        </w:tc>
        <w:tc>
          <w:tcPr>
            <w:tcW w:w="4202" w:type="dxa"/>
          </w:tcPr>
          <w:p w14:paraId="295D0817" w14:textId="77777777" w:rsidR="00BF399A" w:rsidRDefault="00BF399A" w:rsidP="00D308D9">
            <w:pPr>
              <w:jc w:val="right"/>
              <w:rPr>
                <w:rFonts w:ascii="Calibri" w:hAnsi="Calibri"/>
                <w:color w:val="000000"/>
              </w:rPr>
            </w:pPr>
            <w:r>
              <w:rPr>
                <w:rFonts w:ascii="Calibri" w:hAnsi="Calibri"/>
                <w:color w:val="000000"/>
              </w:rPr>
              <w:t>33</w:t>
            </w:r>
          </w:p>
        </w:tc>
      </w:tr>
      <w:tr w:rsidR="00BF399A" w14:paraId="00BF72F3" w14:textId="77777777" w:rsidTr="00D308D9">
        <w:tc>
          <w:tcPr>
            <w:tcW w:w="2263" w:type="dxa"/>
            <w:hideMark/>
          </w:tcPr>
          <w:p w14:paraId="79D12FA3" w14:textId="77777777" w:rsidR="00BF399A" w:rsidRDefault="00BF399A" w:rsidP="00D308D9">
            <w:pPr>
              <w:rPr>
                <w:b/>
              </w:rPr>
            </w:pPr>
            <w:r>
              <w:rPr>
                <w:b/>
              </w:rPr>
              <w:t>Hard to count INDEX (lower = easier to count)</w:t>
            </w:r>
          </w:p>
        </w:tc>
        <w:tc>
          <w:tcPr>
            <w:tcW w:w="2694" w:type="dxa"/>
          </w:tcPr>
          <w:p w14:paraId="691D83B6" w14:textId="77777777" w:rsidR="00BF399A" w:rsidRDefault="00BF399A" w:rsidP="00D308D9"/>
        </w:tc>
        <w:tc>
          <w:tcPr>
            <w:tcW w:w="4202" w:type="dxa"/>
          </w:tcPr>
          <w:p w14:paraId="2C52D4EE" w14:textId="77777777" w:rsidR="00BF399A" w:rsidRDefault="00BF399A" w:rsidP="00D308D9"/>
        </w:tc>
      </w:tr>
      <w:tr w:rsidR="00BF399A" w14:paraId="5551989C" w14:textId="77777777" w:rsidTr="00D308D9">
        <w:tc>
          <w:tcPr>
            <w:tcW w:w="2263" w:type="dxa"/>
            <w:hideMark/>
          </w:tcPr>
          <w:p w14:paraId="4BA98881" w14:textId="77777777" w:rsidR="00BF399A" w:rsidRDefault="00BF399A" w:rsidP="00D308D9">
            <w:r>
              <w:t>1</w:t>
            </w:r>
          </w:p>
        </w:tc>
        <w:tc>
          <w:tcPr>
            <w:tcW w:w="2694" w:type="dxa"/>
          </w:tcPr>
          <w:p w14:paraId="41E6877E"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43E8CEC8" w14:textId="77777777" w:rsidR="00BF399A" w:rsidRDefault="00BF399A" w:rsidP="00D308D9">
            <w:pPr>
              <w:jc w:val="right"/>
              <w:rPr>
                <w:rFonts w:ascii="Calibri" w:hAnsi="Calibri"/>
                <w:color w:val="000000"/>
                <w:lang w:val="en-GB"/>
              </w:rPr>
            </w:pPr>
            <w:r>
              <w:rPr>
                <w:rFonts w:ascii="Calibri" w:hAnsi="Calibri"/>
                <w:color w:val="000000"/>
              </w:rPr>
              <w:t>0</w:t>
            </w:r>
          </w:p>
        </w:tc>
      </w:tr>
      <w:tr w:rsidR="00BF399A" w14:paraId="5CF79D27" w14:textId="77777777" w:rsidTr="00D308D9">
        <w:tc>
          <w:tcPr>
            <w:tcW w:w="2263" w:type="dxa"/>
            <w:hideMark/>
          </w:tcPr>
          <w:p w14:paraId="36587D3A" w14:textId="77777777" w:rsidR="00BF399A" w:rsidRDefault="00BF399A" w:rsidP="00D308D9">
            <w:r>
              <w:t>2</w:t>
            </w:r>
          </w:p>
        </w:tc>
        <w:tc>
          <w:tcPr>
            <w:tcW w:w="2694" w:type="dxa"/>
          </w:tcPr>
          <w:p w14:paraId="7BC8EAC4"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65E35318" w14:textId="77777777" w:rsidR="00BF399A" w:rsidRDefault="00BF399A" w:rsidP="00D308D9">
            <w:pPr>
              <w:jc w:val="right"/>
              <w:rPr>
                <w:rFonts w:ascii="Calibri" w:hAnsi="Calibri"/>
                <w:color w:val="000000"/>
              </w:rPr>
            </w:pPr>
            <w:r>
              <w:rPr>
                <w:rFonts w:ascii="Calibri" w:hAnsi="Calibri"/>
                <w:color w:val="000000"/>
              </w:rPr>
              <w:t>0</w:t>
            </w:r>
          </w:p>
        </w:tc>
      </w:tr>
      <w:tr w:rsidR="00BF399A" w14:paraId="44C99728" w14:textId="77777777" w:rsidTr="00D308D9">
        <w:tc>
          <w:tcPr>
            <w:tcW w:w="2263" w:type="dxa"/>
            <w:hideMark/>
          </w:tcPr>
          <w:p w14:paraId="2254CE6A" w14:textId="77777777" w:rsidR="00BF399A" w:rsidRDefault="00BF399A" w:rsidP="00D308D9">
            <w:pPr>
              <w:rPr>
                <w:b/>
              </w:rPr>
            </w:pPr>
            <w:r>
              <w:rPr>
                <w:b/>
              </w:rPr>
              <w:t>Ethnicity</w:t>
            </w:r>
          </w:p>
        </w:tc>
        <w:tc>
          <w:tcPr>
            <w:tcW w:w="2694" w:type="dxa"/>
          </w:tcPr>
          <w:p w14:paraId="2A7F8BE8" w14:textId="77777777" w:rsidR="00BF399A" w:rsidRDefault="00BF399A" w:rsidP="00D308D9"/>
        </w:tc>
        <w:tc>
          <w:tcPr>
            <w:tcW w:w="4202" w:type="dxa"/>
          </w:tcPr>
          <w:p w14:paraId="7A26FD1F" w14:textId="77777777" w:rsidR="00BF399A" w:rsidRDefault="00BF399A" w:rsidP="00D308D9">
            <w:pPr>
              <w:jc w:val="right"/>
              <w:rPr>
                <w:rFonts w:ascii="Calibri" w:hAnsi="Calibri"/>
                <w:color w:val="000000"/>
              </w:rPr>
            </w:pPr>
          </w:p>
        </w:tc>
      </w:tr>
      <w:tr w:rsidR="00BF399A" w14:paraId="17C165DC" w14:textId="77777777" w:rsidTr="00D308D9">
        <w:tc>
          <w:tcPr>
            <w:tcW w:w="2263" w:type="dxa"/>
            <w:hideMark/>
          </w:tcPr>
          <w:p w14:paraId="04B8ADFB" w14:textId="77777777" w:rsidR="00BF399A" w:rsidRDefault="00BF399A" w:rsidP="00D308D9">
            <w:r>
              <w:t>White</w:t>
            </w:r>
          </w:p>
        </w:tc>
        <w:tc>
          <w:tcPr>
            <w:tcW w:w="2694" w:type="dxa"/>
          </w:tcPr>
          <w:p w14:paraId="3BF71E7F"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1259BD57" w14:textId="77777777" w:rsidR="00BF399A" w:rsidRDefault="00BF399A" w:rsidP="00D308D9">
            <w:pPr>
              <w:jc w:val="right"/>
              <w:rPr>
                <w:rFonts w:ascii="Calibri" w:hAnsi="Calibri"/>
                <w:color w:val="000000"/>
              </w:rPr>
            </w:pPr>
            <w:r>
              <w:rPr>
                <w:rFonts w:ascii="Calibri" w:hAnsi="Calibri"/>
                <w:color w:val="000000"/>
              </w:rPr>
              <w:t>1</w:t>
            </w:r>
          </w:p>
        </w:tc>
      </w:tr>
      <w:tr w:rsidR="00BF399A" w14:paraId="068E527B" w14:textId="77777777" w:rsidTr="00D308D9">
        <w:tc>
          <w:tcPr>
            <w:tcW w:w="2263" w:type="dxa"/>
            <w:hideMark/>
          </w:tcPr>
          <w:p w14:paraId="716D65B0" w14:textId="77777777" w:rsidR="00BF399A" w:rsidRDefault="00BF399A" w:rsidP="00D308D9">
            <w:r>
              <w:t>Mixed</w:t>
            </w:r>
          </w:p>
        </w:tc>
        <w:tc>
          <w:tcPr>
            <w:tcW w:w="2694" w:type="dxa"/>
          </w:tcPr>
          <w:p w14:paraId="0CE2F6B2"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7A1EB18C" w14:textId="77777777" w:rsidR="00BF399A" w:rsidRDefault="00BF399A" w:rsidP="00D308D9">
            <w:pPr>
              <w:jc w:val="right"/>
              <w:rPr>
                <w:rFonts w:ascii="Calibri" w:hAnsi="Calibri"/>
                <w:color w:val="000000"/>
              </w:rPr>
            </w:pPr>
            <w:r>
              <w:rPr>
                <w:rFonts w:ascii="Calibri" w:hAnsi="Calibri"/>
                <w:color w:val="000000"/>
              </w:rPr>
              <w:t>1</w:t>
            </w:r>
          </w:p>
        </w:tc>
      </w:tr>
      <w:tr w:rsidR="00BF399A" w14:paraId="63692488" w14:textId="77777777" w:rsidTr="00D308D9">
        <w:tc>
          <w:tcPr>
            <w:tcW w:w="2263" w:type="dxa"/>
            <w:hideMark/>
          </w:tcPr>
          <w:p w14:paraId="1CFEEDA9" w14:textId="77777777" w:rsidR="00BF399A" w:rsidRDefault="00BF399A" w:rsidP="00D308D9">
            <w:r>
              <w:t>Asian</w:t>
            </w:r>
          </w:p>
        </w:tc>
        <w:tc>
          <w:tcPr>
            <w:tcW w:w="2694" w:type="dxa"/>
          </w:tcPr>
          <w:p w14:paraId="7AF02FFA"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6B6D83E0" w14:textId="77777777" w:rsidR="00BF399A" w:rsidRDefault="00BF399A" w:rsidP="00D308D9">
            <w:pPr>
              <w:jc w:val="right"/>
              <w:rPr>
                <w:rFonts w:ascii="Calibri" w:hAnsi="Calibri"/>
                <w:color w:val="000000"/>
                <w:lang w:val="en-GB"/>
              </w:rPr>
            </w:pPr>
            <w:r>
              <w:rPr>
                <w:rFonts w:ascii="Calibri" w:hAnsi="Calibri"/>
                <w:color w:val="000000"/>
              </w:rPr>
              <w:t>1</w:t>
            </w:r>
          </w:p>
        </w:tc>
      </w:tr>
      <w:tr w:rsidR="00BF399A" w14:paraId="7260DDE0" w14:textId="77777777" w:rsidTr="00D308D9">
        <w:tc>
          <w:tcPr>
            <w:tcW w:w="2263" w:type="dxa"/>
            <w:hideMark/>
          </w:tcPr>
          <w:p w14:paraId="53AB4E7F" w14:textId="77777777" w:rsidR="00BF399A" w:rsidRDefault="00BF399A" w:rsidP="00D308D9">
            <w:r>
              <w:t>Black</w:t>
            </w:r>
          </w:p>
        </w:tc>
        <w:tc>
          <w:tcPr>
            <w:tcW w:w="2694" w:type="dxa"/>
          </w:tcPr>
          <w:p w14:paraId="6DEF36D9"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0D18256F" w14:textId="77777777" w:rsidR="00BF399A" w:rsidRDefault="00BF399A" w:rsidP="00D308D9">
            <w:pPr>
              <w:jc w:val="right"/>
              <w:rPr>
                <w:rFonts w:ascii="Calibri" w:hAnsi="Calibri"/>
                <w:color w:val="000000"/>
              </w:rPr>
            </w:pPr>
            <w:r>
              <w:rPr>
                <w:rFonts w:ascii="Calibri" w:hAnsi="Calibri"/>
                <w:color w:val="000000"/>
              </w:rPr>
              <w:t>1</w:t>
            </w:r>
          </w:p>
        </w:tc>
      </w:tr>
      <w:tr w:rsidR="00BF399A" w14:paraId="3F83087E" w14:textId="77777777" w:rsidTr="00D308D9">
        <w:tc>
          <w:tcPr>
            <w:tcW w:w="2263" w:type="dxa"/>
            <w:hideMark/>
          </w:tcPr>
          <w:p w14:paraId="092CD051" w14:textId="77777777" w:rsidR="00BF399A" w:rsidRDefault="00BF399A" w:rsidP="00D308D9">
            <w:r>
              <w:t>Other</w:t>
            </w:r>
          </w:p>
        </w:tc>
        <w:tc>
          <w:tcPr>
            <w:tcW w:w="2694" w:type="dxa"/>
          </w:tcPr>
          <w:p w14:paraId="1740634F"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1C2E83CD" w14:textId="77777777" w:rsidR="00BF399A" w:rsidRDefault="00BF399A" w:rsidP="00D308D9">
            <w:pPr>
              <w:jc w:val="right"/>
              <w:rPr>
                <w:rFonts w:ascii="Calibri" w:hAnsi="Calibri"/>
                <w:color w:val="000000"/>
              </w:rPr>
            </w:pPr>
            <w:r>
              <w:rPr>
                <w:rFonts w:ascii="Calibri" w:hAnsi="Calibri"/>
                <w:color w:val="000000"/>
              </w:rPr>
              <w:t>0</w:t>
            </w:r>
          </w:p>
        </w:tc>
      </w:tr>
      <w:tr w:rsidR="00BF399A" w14:paraId="3AD7BD64" w14:textId="77777777" w:rsidTr="00D308D9">
        <w:tc>
          <w:tcPr>
            <w:tcW w:w="2263" w:type="dxa"/>
            <w:hideMark/>
          </w:tcPr>
          <w:p w14:paraId="20E9AC62" w14:textId="77777777" w:rsidR="00BF399A" w:rsidRDefault="00BF399A" w:rsidP="00D308D9">
            <w:pPr>
              <w:rPr>
                <w:b/>
              </w:rPr>
            </w:pPr>
            <w:r>
              <w:rPr>
                <w:b/>
              </w:rPr>
              <w:t>Activity last week</w:t>
            </w:r>
          </w:p>
        </w:tc>
        <w:tc>
          <w:tcPr>
            <w:tcW w:w="2694" w:type="dxa"/>
          </w:tcPr>
          <w:p w14:paraId="3F86E094" w14:textId="77777777" w:rsidR="00BF399A" w:rsidRDefault="00BF399A" w:rsidP="00D308D9"/>
        </w:tc>
        <w:tc>
          <w:tcPr>
            <w:tcW w:w="4202" w:type="dxa"/>
          </w:tcPr>
          <w:p w14:paraId="3462515A" w14:textId="77777777" w:rsidR="00BF399A" w:rsidRDefault="00BF399A" w:rsidP="00D308D9">
            <w:pPr>
              <w:jc w:val="right"/>
              <w:rPr>
                <w:rFonts w:ascii="Calibri" w:hAnsi="Calibri"/>
                <w:color w:val="000000"/>
              </w:rPr>
            </w:pPr>
          </w:p>
        </w:tc>
      </w:tr>
      <w:tr w:rsidR="00BF399A" w14:paraId="68421FCA" w14:textId="77777777" w:rsidTr="00D308D9">
        <w:tc>
          <w:tcPr>
            <w:tcW w:w="2263" w:type="dxa"/>
            <w:hideMark/>
          </w:tcPr>
          <w:p w14:paraId="01897B0D" w14:textId="77777777" w:rsidR="00BF399A" w:rsidRDefault="00BF399A" w:rsidP="00D308D9">
            <w:r>
              <w:t>Employed</w:t>
            </w:r>
          </w:p>
        </w:tc>
        <w:tc>
          <w:tcPr>
            <w:tcW w:w="2694" w:type="dxa"/>
          </w:tcPr>
          <w:p w14:paraId="12424D69"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14A064A7" w14:textId="77777777" w:rsidR="00BF399A" w:rsidRDefault="00BF399A" w:rsidP="00D308D9">
            <w:pPr>
              <w:jc w:val="right"/>
              <w:rPr>
                <w:rFonts w:ascii="Calibri" w:hAnsi="Calibri"/>
                <w:color w:val="000000"/>
              </w:rPr>
            </w:pPr>
            <w:r>
              <w:rPr>
                <w:rFonts w:ascii="Calibri" w:hAnsi="Calibri"/>
                <w:color w:val="000000"/>
              </w:rPr>
              <w:t>1</w:t>
            </w:r>
          </w:p>
        </w:tc>
      </w:tr>
      <w:tr w:rsidR="00BF399A" w14:paraId="02E5A85D" w14:textId="77777777" w:rsidTr="00D308D9">
        <w:tc>
          <w:tcPr>
            <w:tcW w:w="2263" w:type="dxa"/>
            <w:hideMark/>
          </w:tcPr>
          <w:p w14:paraId="4BCA64A8" w14:textId="77777777" w:rsidR="00BF399A" w:rsidRDefault="00BF399A" w:rsidP="00D308D9">
            <w:r>
              <w:t>Unemployed</w:t>
            </w:r>
          </w:p>
        </w:tc>
        <w:tc>
          <w:tcPr>
            <w:tcW w:w="2694" w:type="dxa"/>
          </w:tcPr>
          <w:p w14:paraId="2E846224"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27B5C224" w14:textId="77777777" w:rsidR="00BF399A" w:rsidRDefault="00BF399A" w:rsidP="00D308D9">
            <w:pPr>
              <w:jc w:val="right"/>
              <w:rPr>
                <w:rFonts w:ascii="Calibri" w:hAnsi="Calibri"/>
                <w:color w:val="000000"/>
                <w:lang w:val="en-GB"/>
              </w:rPr>
            </w:pPr>
            <w:r>
              <w:rPr>
                <w:rFonts w:ascii="Calibri" w:hAnsi="Calibri"/>
                <w:color w:val="000000"/>
              </w:rPr>
              <w:t>1</w:t>
            </w:r>
          </w:p>
        </w:tc>
      </w:tr>
      <w:tr w:rsidR="00BF399A" w14:paraId="50BF5F4D" w14:textId="77777777" w:rsidTr="00D308D9">
        <w:tc>
          <w:tcPr>
            <w:tcW w:w="2263" w:type="dxa"/>
            <w:hideMark/>
          </w:tcPr>
          <w:p w14:paraId="3F789DA0" w14:textId="77777777" w:rsidR="00BF399A" w:rsidRDefault="00BF399A" w:rsidP="00D308D9">
            <w:r>
              <w:t>Student</w:t>
            </w:r>
          </w:p>
        </w:tc>
        <w:tc>
          <w:tcPr>
            <w:tcW w:w="2694" w:type="dxa"/>
          </w:tcPr>
          <w:p w14:paraId="1143D28E"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71F14A61" w14:textId="77777777" w:rsidR="00BF399A" w:rsidRDefault="00BF399A" w:rsidP="00D308D9">
            <w:pPr>
              <w:jc w:val="right"/>
              <w:rPr>
                <w:rFonts w:ascii="Calibri" w:hAnsi="Calibri"/>
                <w:color w:val="000000"/>
              </w:rPr>
            </w:pPr>
            <w:r>
              <w:rPr>
                <w:rFonts w:ascii="Calibri" w:hAnsi="Calibri"/>
                <w:color w:val="000000"/>
              </w:rPr>
              <w:t>1</w:t>
            </w:r>
          </w:p>
        </w:tc>
      </w:tr>
      <w:tr w:rsidR="00BF399A" w14:paraId="20F98361" w14:textId="77777777" w:rsidTr="00D308D9">
        <w:tc>
          <w:tcPr>
            <w:tcW w:w="2263" w:type="dxa"/>
            <w:hideMark/>
          </w:tcPr>
          <w:p w14:paraId="58B7F4BF" w14:textId="77777777" w:rsidR="00BF399A" w:rsidRDefault="00BF399A" w:rsidP="00D308D9">
            <w:r>
              <w:t>Other</w:t>
            </w:r>
          </w:p>
        </w:tc>
        <w:tc>
          <w:tcPr>
            <w:tcW w:w="2694" w:type="dxa"/>
          </w:tcPr>
          <w:p w14:paraId="2435332F" w14:textId="77777777" w:rsidR="00BF399A" w:rsidRDefault="00BF399A" w:rsidP="00D308D9">
            <w:pPr>
              <w:jc w:val="right"/>
              <w:rPr>
                <w:rFonts w:ascii="Calibri" w:hAnsi="Calibri"/>
                <w:color w:val="000000"/>
              </w:rPr>
            </w:pPr>
            <w:r>
              <w:rPr>
                <w:rFonts w:ascii="Calibri" w:hAnsi="Calibri"/>
                <w:color w:val="000000"/>
              </w:rPr>
              <w:t>0</w:t>
            </w:r>
          </w:p>
        </w:tc>
        <w:tc>
          <w:tcPr>
            <w:tcW w:w="4202" w:type="dxa"/>
          </w:tcPr>
          <w:p w14:paraId="27F945DA" w14:textId="77777777" w:rsidR="00BF399A" w:rsidRDefault="00BF399A" w:rsidP="00D308D9">
            <w:pPr>
              <w:jc w:val="right"/>
              <w:rPr>
                <w:rFonts w:ascii="Calibri" w:hAnsi="Calibri"/>
                <w:color w:val="000000"/>
              </w:rPr>
            </w:pPr>
            <w:r>
              <w:rPr>
                <w:rFonts w:ascii="Calibri" w:hAnsi="Calibri"/>
                <w:color w:val="000000"/>
              </w:rPr>
              <w:t>1</w:t>
            </w:r>
          </w:p>
        </w:tc>
      </w:tr>
    </w:tbl>
    <w:p w14:paraId="1F31E925" w14:textId="77777777" w:rsidR="00BF399A" w:rsidRPr="00EB6102" w:rsidRDefault="00BF399A" w:rsidP="00BF399A">
      <w:pPr>
        <w:spacing w:line="240" w:lineRule="auto"/>
        <w:rPr>
          <w:rFonts w:ascii="Calibri" w:eastAsia="Times New Roman" w:hAnsi="Calibri" w:cs="Times New Roman"/>
          <w:sz w:val="24"/>
          <w:szCs w:val="24"/>
          <w:lang w:eastAsia="en-GB"/>
        </w:rPr>
      </w:pPr>
      <w:r w:rsidRPr="00EB6102">
        <w:rPr>
          <w:rFonts w:ascii="Calibri" w:eastAsia="Times New Roman" w:hAnsi="Calibri" w:cs="Times New Roman"/>
          <w:sz w:val="24"/>
          <w:szCs w:val="24"/>
          <w:lang w:eastAsia="en-GB"/>
        </w:rPr>
        <w:t xml:space="preserve">Note: </w:t>
      </w:r>
      <w:r>
        <w:rPr>
          <w:rFonts w:ascii="Calibri" w:eastAsia="Times New Roman" w:hAnsi="Calibri" w:cs="Times New Roman"/>
          <w:sz w:val="24"/>
          <w:szCs w:val="24"/>
          <w:lang w:eastAsia="en-GB"/>
        </w:rPr>
        <w:t>The local authority level constraints and any other columns using them cannot be included in this table, as they are based on other census data and are not coverage estimates.</w:t>
      </w:r>
    </w:p>
    <w:p w14:paraId="58CA002A" w14:textId="77777777" w:rsidR="00BF399A" w:rsidRDefault="00BF399A" w:rsidP="00BF399A">
      <w:pPr>
        <w:spacing w:line="240" w:lineRule="auto"/>
        <w:rPr>
          <w:sz w:val="24"/>
        </w:rPr>
      </w:pPr>
      <w:r>
        <w:rPr>
          <w:sz w:val="24"/>
        </w:rPr>
        <w:t xml:space="preserve">Table 5 shows the error for the LA in the East Midlands, which has bias for household size and larger relative bias as the target population counts for LAs are smaller. We expect to have better evidence of how well the methods work when implemented for LAs with future work </w:t>
      </w:r>
      <w:r>
        <w:rPr>
          <w:sz w:val="24"/>
        </w:rPr>
        <w:lastRenderedPageBreak/>
        <w:t xml:space="preserve">using simulated coverage estimates, but this early work has indicated that CO can </w:t>
      </w:r>
      <w:proofErr w:type="spellStart"/>
      <w:r>
        <w:rPr>
          <w:sz w:val="24"/>
        </w:rPr>
        <w:t>optimise</w:t>
      </w:r>
      <w:proofErr w:type="spellEnd"/>
      <w:r>
        <w:rPr>
          <w:sz w:val="24"/>
        </w:rPr>
        <w:t xml:space="preserve"> well with smaller donor pools and benchmarks.</w:t>
      </w:r>
    </w:p>
    <w:p w14:paraId="58752F49" w14:textId="51E766FD" w:rsidR="00BF399A" w:rsidRDefault="00BF399A" w:rsidP="00BF399A">
      <w:pPr>
        <w:spacing w:line="240" w:lineRule="auto"/>
        <w:rPr>
          <w:rFonts w:ascii="Calibri" w:eastAsia="Times New Roman" w:hAnsi="Calibri" w:cs="Times New Roman"/>
          <w:b/>
          <w:sz w:val="24"/>
          <w:szCs w:val="24"/>
          <w:lang w:eastAsia="en-GB"/>
        </w:rPr>
      </w:pPr>
      <w:r w:rsidRPr="00F42919">
        <w:rPr>
          <w:rFonts w:ascii="Calibri" w:eastAsia="Times New Roman" w:hAnsi="Calibri" w:cs="Times New Roman"/>
          <w:b/>
          <w:sz w:val="24"/>
          <w:szCs w:val="24"/>
          <w:lang w:eastAsia="en-GB"/>
        </w:rPr>
        <w:t xml:space="preserve">Section 5  </w:t>
      </w:r>
      <w:r>
        <w:rPr>
          <w:rFonts w:ascii="Calibri" w:eastAsia="Times New Roman" w:hAnsi="Calibri" w:cs="Times New Roman"/>
          <w:b/>
          <w:sz w:val="24"/>
          <w:szCs w:val="24"/>
          <w:lang w:eastAsia="en-GB"/>
        </w:rPr>
        <w:t xml:space="preserve"> Placement of donor households and u</w:t>
      </w:r>
      <w:r w:rsidRPr="00F42919">
        <w:rPr>
          <w:rFonts w:ascii="Calibri" w:eastAsia="Times New Roman" w:hAnsi="Calibri" w:cs="Times New Roman"/>
          <w:b/>
          <w:sz w:val="24"/>
          <w:szCs w:val="24"/>
          <w:lang w:eastAsia="en-GB"/>
        </w:rPr>
        <w:t>s</w:t>
      </w:r>
      <w:r>
        <w:rPr>
          <w:rFonts w:ascii="Calibri" w:eastAsia="Times New Roman" w:hAnsi="Calibri" w:cs="Times New Roman"/>
          <w:b/>
          <w:sz w:val="24"/>
          <w:szCs w:val="24"/>
          <w:lang w:eastAsia="en-GB"/>
        </w:rPr>
        <w:t>e of</w:t>
      </w:r>
      <w:r w:rsidRPr="00F42919">
        <w:rPr>
          <w:rFonts w:ascii="Calibri" w:eastAsia="Times New Roman" w:hAnsi="Calibri" w:cs="Times New Roman"/>
          <w:b/>
          <w:sz w:val="24"/>
          <w:szCs w:val="24"/>
          <w:lang w:eastAsia="en-GB"/>
        </w:rPr>
        <w:t xml:space="preserve"> administrative data</w:t>
      </w:r>
      <w:r w:rsidR="002656CE">
        <w:rPr>
          <w:rFonts w:ascii="Calibri" w:eastAsia="Times New Roman" w:hAnsi="Calibri" w:cs="Times New Roman"/>
          <w:b/>
          <w:sz w:val="24"/>
          <w:szCs w:val="24"/>
          <w:lang w:eastAsia="en-GB"/>
        </w:rPr>
        <w:t>.</w:t>
      </w:r>
      <w:r w:rsidRPr="00F42919">
        <w:rPr>
          <w:rFonts w:ascii="Calibri" w:eastAsia="Times New Roman" w:hAnsi="Calibri" w:cs="Times New Roman"/>
          <w:b/>
          <w:sz w:val="24"/>
          <w:szCs w:val="24"/>
          <w:lang w:eastAsia="en-GB"/>
        </w:rPr>
        <w:t xml:space="preserve"> </w:t>
      </w:r>
    </w:p>
    <w:p w14:paraId="22A3F02B" w14:textId="77777777" w:rsidR="00BF399A" w:rsidRPr="008866BC" w:rsidRDefault="00BF399A" w:rsidP="00BF399A">
      <w:pPr>
        <w:spacing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In this section we present p</w:t>
      </w:r>
      <w:r w:rsidRPr="000622C8">
        <w:rPr>
          <w:rFonts w:ascii="Calibri" w:eastAsia="Times New Roman" w:hAnsi="Calibri" w:cs="Times New Roman"/>
          <w:sz w:val="24"/>
          <w:szCs w:val="24"/>
          <w:lang w:eastAsia="en-GB"/>
        </w:rPr>
        <w:t xml:space="preserve">lans for using administrative data to </w:t>
      </w:r>
      <w:r>
        <w:rPr>
          <w:rFonts w:ascii="Calibri" w:eastAsia="Times New Roman" w:hAnsi="Calibri" w:cs="Times New Roman"/>
          <w:sz w:val="24"/>
          <w:szCs w:val="24"/>
          <w:lang w:eastAsia="en-GB"/>
        </w:rPr>
        <w:t xml:space="preserve">better inform </w:t>
      </w:r>
      <w:r w:rsidRPr="000622C8">
        <w:rPr>
          <w:rFonts w:ascii="Calibri" w:eastAsia="Times New Roman" w:hAnsi="Calibri" w:cs="Times New Roman"/>
          <w:sz w:val="24"/>
          <w:szCs w:val="24"/>
          <w:lang w:eastAsia="en-GB"/>
        </w:rPr>
        <w:t xml:space="preserve">the placement of donors </w:t>
      </w:r>
      <w:r>
        <w:rPr>
          <w:rFonts w:ascii="Calibri" w:eastAsia="Times New Roman" w:hAnsi="Calibri" w:cs="Times New Roman"/>
          <w:sz w:val="24"/>
          <w:szCs w:val="24"/>
          <w:lang w:eastAsia="en-GB"/>
        </w:rPr>
        <w:t>in</w:t>
      </w:r>
      <w:r w:rsidRPr="000622C8">
        <w:rPr>
          <w:rFonts w:ascii="Calibri" w:eastAsia="Times New Roman" w:hAnsi="Calibri" w:cs="Times New Roman"/>
          <w:sz w:val="24"/>
          <w:szCs w:val="24"/>
          <w:lang w:eastAsia="en-GB"/>
        </w:rPr>
        <w:t xml:space="preserve"> post codes.</w:t>
      </w:r>
      <w:r>
        <w:rPr>
          <w:rFonts w:ascii="Calibri" w:eastAsia="Times New Roman" w:hAnsi="Calibri" w:cs="Times New Roman"/>
          <w:sz w:val="24"/>
          <w:szCs w:val="24"/>
          <w:lang w:eastAsia="en-GB"/>
        </w:rPr>
        <w:t xml:space="preserve"> </w:t>
      </w:r>
      <w:r w:rsidRPr="00AB63F2">
        <w:rPr>
          <w:sz w:val="24"/>
          <w:szCs w:val="24"/>
        </w:rPr>
        <w:t xml:space="preserve">Once the donor households have been selected, we look to other data to </w:t>
      </w:r>
      <w:r>
        <w:rPr>
          <w:sz w:val="24"/>
          <w:szCs w:val="24"/>
        </w:rPr>
        <w:t xml:space="preserve">decide </w:t>
      </w:r>
      <w:r w:rsidRPr="00AB63F2">
        <w:rPr>
          <w:sz w:val="24"/>
          <w:szCs w:val="24"/>
        </w:rPr>
        <w:t xml:space="preserve">where the households should be placed. The census (“dummy form”) data provide us with indicators of potentially missed households, and administrative data may provide additional information to support this or to corroborate what is provided by the census. </w:t>
      </w:r>
    </w:p>
    <w:p w14:paraId="064163A3" w14:textId="77777777" w:rsidR="00BF399A" w:rsidRPr="008B6045" w:rsidRDefault="00BF399A" w:rsidP="00BF399A">
      <w:pPr>
        <w:spacing w:line="240" w:lineRule="auto"/>
        <w:rPr>
          <w:sz w:val="24"/>
          <w:szCs w:val="24"/>
        </w:rPr>
      </w:pPr>
      <w:r w:rsidRPr="008B6045">
        <w:rPr>
          <w:sz w:val="24"/>
          <w:szCs w:val="24"/>
        </w:rPr>
        <w:t>The methods used to place household donors for the 2011 Census w</w:t>
      </w:r>
      <w:r>
        <w:rPr>
          <w:sz w:val="24"/>
          <w:szCs w:val="24"/>
        </w:rPr>
        <w:t>ere</w:t>
      </w:r>
      <w:r w:rsidRPr="008B6045">
        <w:rPr>
          <w:sz w:val="24"/>
          <w:szCs w:val="24"/>
        </w:rPr>
        <w:t xml:space="preserve"> carried out by local authority for each estimation area, and the donors were placed in two steps. Donor households were first placed at the location of a census dummy form (i.e. an address where the enumerator was unable to obtain a response). A simple scoring method was used that compared the characteristics of the donor households to the characteristics of the available addresses and their output areas. When the dummy forms were used up within a local authority, or there were no appropriate dummy forms left, donor households were placed randomly within the donor’s OA. </w:t>
      </w:r>
    </w:p>
    <w:p w14:paraId="159818AB" w14:textId="77777777" w:rsidR="00BF399A" w:rsidRPr="008B6045" w:rsidRDefault="00BF399A" w:rsidP="00BF399A">
      <w:pPr>
        <w:pStyle w:val="ListParagraph"/>
        <w:spacing w:line="240" w:lineRule="auto"/>
        <w:ind w:left="0"/>
        <w:contextualSpacing w:val="0"/>
        <w:rPr>
          <w:sz w:val="24"/>
          <w:szCs w:val="24"/>
        </w:rPr>
      </w:pPr>
      <w:r w:rsidRPr="008B6045">
        <w:rPr>
          <w:sz w:val="24"/>
          <w:szCs w:val="24"/>
        </w:rPr>
        <w:t xml:space="preserve">The simple scoring method aims to place donor households </w:t>
      </w:r>
      <w:proofErr w:type="gramStart"/>
      <w:r w:rsidRPr="008B6045">
        <w:rPr>
          <w:sz w:val="24"/>
          <w:szCs w:val="24"/>
        </w:rPr>
        <w:t>in to</w:t>
      </w:r>
      <w:proofErr w:type="gramEnd"/>
      <w:r w:rsidRPr="008B6045">
        <w:rPr>
          <w:sz w:val="24"/>
          <w:szCs w:val="24"/>
        </w:rPr>
        <w:t xml:space="preserve"> the locations of similar dummy forms or empty households. The accommodation type, household structure, tenure (either at address or at output area level) and </w:t>
      </w:r>
      <w:r>
        <w:rPr>
          <w:sz w:val="24"/>
          <w:szCs w:val="24"/>
        </w:rPr>
        <w:t>lower level super output area (</w:t>
      </w:r>
      <w:r w:rsidRPr="008B6045">
        <w:rPr>
          <w:sz w:val="24"/>
          <w:szCs w:val="24"/>
        </w:rPr>
        <w:t>LSOA</w:t>
      </w:r>
      <w:r>
        <w:rPr>
          <w:sz w:val="24"/>
          <w:szCs w:val="24"/>
        </w:rPr>
        <w:t>)</w:t>
      </w:r>
      <w:r w:rsidRPr="008B6045">
        <w:rPr>
          <w:sz w:val="24"/>
          <w:szCs w:val="24"/>
        </w:rPr>
        <w:t xml:space="preserve"> of each donor were compared to the dummy forms. The score is increased where these characteristics were the same</w:t>
      </w:r>
      <w:r>
        <w:rPr>
          <w:sz w:val="24"/>
          <w:szCs w:val="24"/>
        </w:rPr>
        <w:t>. D</w:t>
      </w:r>
      <w:r w:rsidRPr="008B6045">
        <w:rPr>
          <w:sz w:val="24"/>
          <w:szCs w:val="24"/>
        </w:rPr>
        <w:t xml:space="preserve">ummy forms that provided the largest score and smallest distance for the donor were selected as the location of placement for each donor. </w:t>
      </w:r>
    </w:p>
    <w:p w14:paraId="06F7114C" w14:textId="77777777" w:rsidR="00BF399A" w:rsidRDefault="00BF399A" w:rsidP="00BF399A">
      <w:pPr>
        <w:pStyle w:val="CommentText"/>
        <w:rPr>
          <w:sz w:val="24"/>
          <w:szCs w:val="24"/>
        </w:rPr>
      </w:pPr>
      <w:r w:rsidRPr="008B6045">
        <w:rPr>
          <w:sz w:val="24"/>
          <w:szCs w:val="24"/>
        </w:rPr>
        <w:t xml:space="preserve">Of the 348 local authorities, </w:t>
      </w:r>
      <w:r>
        <w:rPr>
          <w:sz w:val="24"/>
          <w:szCs w:val="24"/>
        </w:rPr>
        <w:t xml:space="preserve">162 went on to place donor households randomly after first trying to place the donors in dummy forms/empty households. Of these LAs, 107 moved on to random placement as they had filled all the available dummy forms and had donors still to place. The other 55 LAs did not use all dummy forms as there were very low scores between the remaining dummy forms and donors. </w:t>
      </w:r>
    </w:p>
    <w:p w14:paraId="4F5F346D" w14:textId="77777777" w:rsidR="00BF399A" w:rsidRPr="00FB491B" w:rsidRDefault="00BF399A" w:rsidP="00BF399A">
      <w:pPr>
        <w:pStyle w:val="CommentText"/>
        <w:rPr>
          <w:b/>
          <w:sz w:val="24"/>
          <w:szCs w:val="24"/>
        </w:rPr>
      </w:pPr>
      <w:r w:rsidRPr="00FB491B">
        <w:rPr>
          <w:b/>
          <w:sz w:val="24"/>
          <w:szCs w:val="24"/>
        </w:rPr>
        <w:t>Table 6</w:t>
      </w:r>
      <w:r>
        <w:rPr>
          <w:b/>
          <w:sz w:val="24"/>
          <w:szCs w:val="24"/>
        </w:rPr>
        <w:t xml:space="preserve">: </w:t>
      </w:r>
      <w:r w:rsidRPr="00FB491B">
        <w:rPr>
          <w:b/>
          <w:sz w:val="24"/>
          <w:szCs w:val="24"/>
        </w:rPr>
        <w:t>Placement of donors within LAs</w:t>
      </w:r>
      <w:r>
        <w:rPr>
          <w:b/>
          <w:sz w:val="24"/>
          <w:szCs w:val="24"/>
        </w:rPr>
        <w:t xml:space="preserve">. </w:t>
      </w:r>
      <w:r w:rsidRPr="00FB491B">
        <w:rPr>
          <w:b/>
          <w:sz w:val="24"/>
          <w:szCs w:val="24"/>
        </w:rPr>
        <w:t>Use of dummy forms by random placement</w:t>
      </w:r>
      <w:r w:rsidRPr="004E204F">
        <w:rPr>
          <w:b/>
          <w:sz w:val="24"/>
          <w:szCs w:val="24"/>
        </w:rPr>
        <w:t xml:space="preserve"> </w:t>
      </w:r>
      <w:r>
        <w:rPr>
          <w:b/>
          <w:sz w:val="24"/>
          <w:szCs w:val="24"/>
        </w:rPr>
        <w:t>in 2011 census adjustment.</w:t>
      </w:r>
    </w:p>
    <w:tbl>
      <w:tblPr>
        <w:tblStyle w:val="TableGrid"/>
        <w:tblW w:w="7933" w:type="dxa"/>
        <w:tblInd w:w="0" w:type="dxa"/>
        <w:tblLook w:val="04A0" w:firstRow="1" w:lastRow="0" w:firstColumn="1" w:lastColumn="0" w:noHBand="0" w:noVBand="1"/>
      </w:tblPr>
      <w:tblGrid>
        <w:gridCol w:w="2415"/>
        <w:gridCol w:w="2400"/>
        <w:gridCol w:w="2268"/>
        <w:gridCol w:w="850"/>
      </w:tblGrid>
      <w:tr w:rsidR="00BF399A" w:rsidRPr="00AE2AC7" w14:paraId="100585EE" w14:textId="77777777" w:rsidTr="00D308D9">
        <w:tc>
          <w:tcPr>
            <w:tcW w:w="2415" w:type="dxa"/>
            <w:tcBorders>
              <w:bottom w:val="single" w:sz="12" w:space="0" w:color="auto"/>
              <w:right w:val="single" w:sz="12" w:space="0" w:color="auto"/>
            </w:tcBorders>
          </w:tcPr>
          <w:p w14:paraId="126B0CB2" w14:textId="77777777" w:rsidR="00BF399A" w:rsidRPr="00EB6102" w:rsidRDefault="00BF399A" w:rsidP="00D308D9">
            <w:pPr>
              <w:pStyle w:val="CommentText"/>
              <w:rPr>
                <w:sz w:val="22"/>
                <w:szCs w:val="22"/>
              </w:rPr>
            </w:pPr>
          </w:p>
        </w:tc>
        <w:tc>
          <w:tcPr>
            <w:tcW w:w="2400" w:type="dxa"/>
            <w:tcBorders>
              <w:left w:val="single" w:sz="12" w:space="0" w:color="auto"/>
              <w:bottom w:val="single" w:sz="12" w:space="0" w:color="auto"/>
            </w:tcBorders>
          </w:tcPr>
          <w:p w14:paraId="2FD2CD00" w14:textId="77777777" w:rsidR="00BF399A" w:rsidRPr="00EB6102" w:rsidRDefault="00BF399A" w:rsidP="00D308D9">
            <w:pPr>
              <w:pStyle w:val="CommentText"/>
              <w:rPr>
                <w:b/>
                <w:sz w:val="22"/>
                <w:szCs w:val="22"/>
              </w:rPr>
            </w:pPr>
            <w:r w:rsidRPr="00EB6102">
              <w:rPr>
                <w:b/>
                <w:sz w:val="22"/>
                <w:szCs w:val="22"/>
              </w:rPr>
              <w:t>Used all dummy forms for placement</w:t>
            </w:r>
          </w:p>
        </w:tc>
        <w:tc>
          <w:tcPr>
            <w:tcW w:w="2268" w:type="dxa"/>
            <w:tcBorders>
              <w:bottom w:val="single" w:sz="12" w:space="0" w:color="auto"/>
            </w:tcBorders>
          </w:tcPr>
          <w:p w14:paraId="450F45A7" w14:textId="77777777" w:rsidR="00BF399A" w:rsidRPr="00EB6102" w:rsidRDefault="00BF399A" w:rsidP="00D308D9">
            <w:pPr>
              <w:pStyle w:val="CommentText"/>
              <w:rPr>
                <w:b/>
                <w:sz w:val="22"/>
                <w:szCs w:val="22"/>
              </w:rPr>
            </w:pPr>
            <w:r w:rsidRPr="00EB6102">
              <w:rPr>
                <w:b/>
                <w:sz w:val="22"/>
                <w:szCs w:val="22"/>
              </w:rPr>
              <w:t>Didn’t use all dummy forms for placement</w:t>
            </w:r>
          </w:p>
        </w:tc>
        <w:tc>
          <w:tcPr>
            <w:tcW w:w="850" w:type="dxa"/>
            <w:tcBorders>
              <w:bottom w:val="single" w:sz="12" w:space="0" w:color="auto"/>
            </w:tcBorders>
          </w:tcPr>
          <w:p w14:paraId="75EFEA89" w14:textId="77777777" w:rsidR="00BF399A" w:rsidRPr="00EB6102" w:rsidRDefault="00BF399A" w:rsidP="00D308D9">
            <w:pPr>
              <w:pStyle w:val="CommentText"/>
              <w:rPr>
                <w:b/>
                <w:sz w:val="22"/>
                <w:szCs w:val="22"/>
              </w:rPr>
            </w:pPr>
            <w:r w:rsidRPr="00EB6102">
              <w:rPr>
                <w:b/>
                <w:sz w:val="22"/>
                <w:szCs w:val="22"/>
              </w:rPr>
              <w:t>Total</w:t>
            </w:r>
          </w:p>
        </w:tc>
      </w:tr>
      <w:tr w:rsidR="00BF399A" w:rsidRPr="00FB491B" w14:paraId="051C46F3" w14:textId="77777777" w:rsidTr="00D308D9">
        <w:tc>
          <w:tcPr>
            <w:tcW w:w="2415" w:type="dxa"/>
            <w:tcBorders>
              <w:top w:val="single" w:sz="12" w:space="0" w:color="auto"/>
              <w:right w:val="single" w:sz="12" w:space="0" w:color="auto"/>
            </w:tcBorders>
          </w:tcPr>
          <w:p w14:paraId="3EEFAE30" w14:textId="77777777" w:rsidR="00BF399A" w:rsidRPr="00EB6102" w:rsidRDefault="00BF399A" w:rsidP="00D308D9">
            <w:pPr>
              <w:pStyle w:val="CommentText"/>
              <w:rPr>
                <w:b/>
                <w:sz w:val="22"/>
                <w:szCs w:val="22"/>
              </w:rPr>
            </w:pPr>
            <w:r w:rsidRPr="00EB6102">
              <w:rPr>
                <w:b/>
                <w:sz w:val="22"/>
                <w:szCs w:val="22"/>
              </w:rPr>
              <w:t>Did random placement</w:t>
            </w:r>
          </w:p>
        </w:tc>
        <w:tc>
          <w:tcPr>
            <w:tcW w:w="2400" w:type="dxa"/>
            <w:tcBorders>
              <w:top w:val="single" w:sz="12" w:space="0" w:color="auto"/>
              <w:left w:val="single" w:sz="12" w:space="0" w:color="auto"/>
            </w:tcBorders>
            <w:vAlign w:val="center"/>
          </w:tcPr>
          <w:p w14:paraId="0BFA4028" w14:textId="77777777" w:rsidR="00BF399A" w:rsidRPr="00EB6102" w:rsidRDefault="00BF399A" w:rsidP="00D308D9">
            <w:pPr>
              <w:pStyle w:val="CommentText"/>
              <w:jc w:val="right"/>
              <w:rPr>
                <w:sz w:val="22"/>
                <w:szCs w:val="22"/>
              </w:rPr>
            </w:pPr>
            <w:r w:rsidRPr="00EB6102">
              <w:rPr>
                <w:sz w:val="22"/>
                <w:szCs w:val="22"/>
              </w:rPr>
              <w:t>107</w:t>
            </w:r>
          </w:p>
        </w:tc>
        <w:tc>
          <w:tcPr>
            <w:tcW w:w="2268" w:type="dxa"/>
            <w:tcBorders>
              <w:top w:val="single" w:sz="12" w:space="0" w:color="auto"/>
            </w:tcBorders>
            <w:vAlign w:val="center"/>
          </w:tcPr>
          <w:p w14:paraId="1A7BF468" w14:textId="77777777" w:rsidR="00BF399A" w:rsidRPr="00EB6102" w:rsidRDefault="00BF399A" w:rsidP="00D308D9">
            <w:pPr>
              <w:pStyle w:val="CommentText"/>
              <w:jc w:val="right"/>
              <w:rPr>
                <w:sz w:val="22"/>
                <w:szCs w:val="22"/>
              </w:rPr>
            </w:pPr>
            <w:r w:rsidRPr="00EB6102">
              <w:rPr>
                <w:sz w:val="22"/>
                <w:szCs w:val="22"/>
              </w:rPr>
              <w:t>55</w:t>
            </w:r>
          </w:p>
        </w:tc>
        <w:tc>
          <w:tcPr>
            <w:tcW w:w="850" w:type="dxa"/>
            <w:tcBorders>
              <w:top w:val="single" w:sz="12" w:space="0" w:color="auto"/>
            </w:tcBorders>
            <w:vAlign w:val="center"/>
          </w:tcPr>
          <w:p w14:paraId="205C0443" w14:textId="77777777" w:rsidR="00BF399A" w:rsidRPr="00EB6102" w:rsidRDefault="00BF399A" w:rsidP="00D308D9">
            <w:pPr>
              <w:pStyle w:val="CommentText"/>
              <w:jc w:val="right"/>
              <w:rPr>
                <w:sz w:val="22"/>
                <w:szCs w:val="22"/>
              </w:rPr>
            </w:pPr>
            <w:r w:rsidRPr="00EB6102">
              <w:rPr>
                <w:sz w:val="22"/>
                <w:szCs w:val="22"/>
              </w:rPr>
              <w:t>162</w:t>
            </w:r>
          </w:p>
        </w:tc>
      </w:tr>
      <w:tr w:rsidR="00BF399A" w:rsidRPr="00FB491B" w14:paraId="7ABF432E" w14:textId="77777777" w:rsidTr="00D308D9">
        <w:tc>
          <w:tcPr>
            <w:tcW w:w="2415" w:type="dxa"/>
            <w:tcBorders>
              <w:right w:val="single" w:sz="12" w:space="0" w:color="auto"/>
            </w:tcBorders>
          </w:tcPr>
          <w:p w14:paraId="28DA8C21" w14:textId="77777777" w:rsidR="00BF399A" w:rsidRPr="00EB6102" w:rsidRDefault="00BF399A" w:rsidP="00D308D9">
            <w:pPr>
              <w:pStyle w:val="CommentText"/>
              <w:rPr>
                <w:b/>
                <w:sz w:val="22"/>
                <w:szCs w:val="22"/>
              </w:rPr>
            </w:pPr>
            <w:r w:rsidRPr="00EB6102">
              <w:rPr>
                <w:b/>
                <w:sz w:val="22"/>
                <w:szCs w:val="22"/>
              </w:rPr>
              <w:t>Didn’t do random placement</w:t>
            </w:r>
          </w:p>
        </w:tc>
        <w:tc>
          <w:tcPr>
            <w:tcW w:w="2400" w:type="dxa"/>
            <w:tcBorders>
              <w:left w:val="single" w:sz="12" w:space="0" w:color="auto"/>
            </w:tcBorders>
            <w:vAlign w:val="center"/>
          </w:tcPr>
          <w:p w14:paraId="633E9C23" w14:textId="77777777" w:rsidR="00BF399A" w:rsidRPr="00EB6102" w:rsidRDefault="00BF399A" w:rsidP="00D308D9">
            <w:pPr>
              <w:pStyle w:val="CommentText"/>
              <w:jc w:val="right"/>
              <w:rPr>
                <w:sz w:val="22"/>
                <w:szCs w:val="22"/>
              </w:rPr>
            </w:pPr>
            <w:r w:rsidRPr="00EB6102">
              <w:rPr>
                <w:sz w:val="22"/>
                <w:szCs w:val="22"/>
              </w:rPr>
              <w:t>0</w:t>
            </w:r>
          </w:p>
        </w:tc>
        <w:tc>
          <w:tcPr>
            <w:tcW w:w="2268" w:type="dxa"/>
            <w:vAlign w:val="center"/>
          </w:tcPr>
          <w:p w14:paraId="73F8D5DC" w14:textId="77777777" w:rsidR="00BF399A" w:rsidRPr="00EB6102" w:rsidRDefault="00BF399A" w:rsidP="00D308D9">
            <w:pPr>
              <w:pStyle w:val="CommentText"/>
              <w:jc w:val="right"/>
              <w:rPr>
                <w:sz w:val="22"/>
                <w:szCs w:val="22"/>
              </w:rPr>
            </w:pPr>
            <w:r w:rsidRPr="00EB6102">
              <w:rPr>
                <w:sz w:val="22"/>
                <w:szCs w:val="22"/>
              </w:rPr>
              <w:t>186</w:t>
            </w:r>
          </w:p>
        </w:tc>
        <w:tc>
          <w:tcPr>
            <w:tcW w:w="850" w:type="dxa"/>
            <w:vAlign w:val="center"/>
          </w:tcPr>
          <w:p w14:paraId="2C314F63" w14:textId="77777777" w:rsidR="00BF399A" w:rsidRPr="00EB6102" w:rsidRDefault="00BF399A" w:rsidP="00D308D9">
            <w:pPr>
              <w:pStyle w:val="CommentText"/>
              <w:jc w:val="right"/>
              <w:rPr>
                <w:sz w:val="22"/>
                <w:szCs w:val="22"/>
              </w:rPr>
            </w:pPr>
            <w:r w:rsidRPr="00EB6102">
              <w:rPr>
                <w:sz w:val="22"/>
                <w:szCs w:val="22"/>
              </w:rPr>
              <w:t>186</w:t>
            </w:r>
          </w:p>
        </w:tc>
      </w:tr>
      <w:tr w:rsidR="00BF399A" w:rsidRPr="00FB491B" w14:paraId="2A912AF1" w14:textId="77777777" w:rsidTr="00D308D9">
        <w:tc>
          <w:tcPr>
            <w:tcW w:w="2415" w:type="dxa"/>
            <w:tcBorders>
              <w:right w:val="single" w:sz="12" w:space="0" w:color="auto"/>
            </w:tcBorders>
          </w:tcPr>
          <w:p w14:paraId="16814116" w14:textId="77777777" w:rsidR="00BF399A" w:rsidRPr="00EB6102" w:rsidRDefault="00BF399A" w:rsidP="00D308D9">
            <w:pPr>
              <w:pStyle w:val="CommentText"/>
              <w:rPr>
                <w:b/>
                <w:sz w:val="22"/>
                <w:szCs w:val="22"/>
              </w:rPr>
            </w:pPr>
            <w:r w:rsidRPr="00EB6102">
              <w:rPr>
                <w:b/>
                <w:sz w:val="22"/>
                <w:szCs w:val="22"/>
              </w:rPr>
              <w:t>Total</w:t>
            </w:r>
          </w:p>
        </w:tc>
        <w:tc>
          <w:tcPr>
            <w:tcW w:w="2400" w:type="dxa"/>
            <w:tcBorders>
              <w:left w:val="single" w:sz="12" w:space="0" w:color="auto"/>
            </w:tcBorders>
            <w:vAlign w:val="center"/>
          </w:tcPr>
          <w:p w14:paraId="77AAA8C1" w14:textId="77777777" w:rsidR="00BF399A" w:rsidRPr="00EB6102" w:rsidRDefault="00BF399A" w:rsidP="00D308D9">
            <w:pPr>
              <w:pStyle w:val="CommentText"/>
              <w:jc w:val="right"/>
              <w:rPr>
                <w:sz w:val="22"/>
                <w:szCs w:val="22"/>
              </w:rPr>
            </w:pPr>
            <w:r w:rsidRPr="00EB6102">
              <w:rPr>
                <w:sz w:val="22"/>
                <w:szCs w:val="22"/>
              </w:rPr>
              <w:t>107</w:t>
            </w:r>
          </w:p>
        </w:tc>
        <w:tc>
          <w:tcPr>
            <w:tcW w:w="2268" w:type="dxa"/>
            <w:vAlign w:val="center"/>
          </w:tcPr>
          <w:p w14:paraId="6918E40E" w14:textId="77777777" w:rsidR="00BF399A" w:rsidRPr="00EB6102" w:rsidRDefault="00BF399A" w:rsidP="00D308D9">
            <w:pPr>
              <w:pStyle w:val="CommentText"/>
              <w:jc w:val="right"/>
              <w:rPr>
                <w:sz w:val="22"/>
                <w:szCs w:val="22"/>
              </w:rPr>
            </w:pPr>
            <w:r w:rsidRPr="00EB6102">
              <w:rPr>
                <w:sz w:val="22"/>
                <w:szCs w:val="22"/>
              </w:rPr>
              <w:t>241</w:t>
            </w:r>
          </w:p>
        </w:tc>
        <w:tc>
          <w:tcPr>
            <w:tcW w:w="850" w:type="dxa"/>
            <w:vAlign w:val="center"/>
          </w:tcPr>
          <w:p w14:paraId="7AF1D54F" w14:textId="77777777" w:rsidR="00BF399A" w:rsidRPr="00EB6102" w:rsidRDefault="00BF399A" w:rsidP="00D308D9">
            <w:pPr>
              <w:pStyle w:val="CommentText"/>
              <w:jc w:val="right"/>
              <w:rPr>
                <w:sz w:val="22"/>
                <w:szCs w:val="22"/>
              </w:rPr>
            </w:pPr>
            <w:r w:rsidRPr="00EB6102">
              <w:rPr>
                <w:sz w:val="22"/>
                <w:szCs w:val="22"/>
              </w:rPr>
              <w:t>348</w:t>
            </w:r>
          </w:p>
        </w:tc>
      </w:tr>
    </w:tbl>
    <w:p w14:paraId="1E29211E" w14:textId="77777777" w:rsidR="00BF399A" w:rsidRPr="009B214C" w:rsidRDefault="00BF399A" w:rsidP="00BF399A">
      <w:pPr>
        <w:pStyle w:val="CommentText"/>
        <w:rPr>
          <w:color w:val="FF0000"/>
        </w:rPr>
      </w:pPr>
    </w:p>
    <w:p w14:paraId="2AE82CE7" w14:textId="77777777" w:rsidR="00BF399A" w:rsidRDefault="00BF399A" w:rsidP="00BF399A">
      <w:pPr>
        <w:pStyle w:val="ListParagraph"/>
        <w:tabs>
          <w:tab w:val="left" w:pos="8124"/>
        </w:tabs>
        <w:spacing w:line="240" w:lineRule="auto"/>
        <w:ind w:left="0"/>
        <w:rPr>
          <w:sz w:val="24"/>
          <w:szCs w:val="24"/>
        </w:rPr>
      </w:pPr>
    </w:p>
    <w:p w14:paraId="280F6BD1" w14:textId="77777777" w:rsidR="00BF399A" w:rsidRPr="00D26429" w:rsidRDefault="00BF399A" w:rsidP="00BF399A">
      <w:pPr>
        <w:pStyle w:val="ListParagraph"/>
        <w:tabs>
          <w:tab w:val="left" w:pos="8124"/>
        </w:tabs>
        <w:spacing w:line="240" w:lineRule="auto"/>
        <w:ind w:left="0"/>
        <w:rPr>
          <w:sz w:val="24"/>
          <w:szCs w:val="24"/>
        </w:rPr>
      </w:pPr>
      <w:r w:rsidRPr="00D26429">
        <w:rPr>
          <w:sz w:val="24"/>
          <w:szCs w:val="24"/>
        </w:rPr>
        <w:lastRenderedPageBreak/>
        <w:t xml:space="preserve">Administrative data linked to the 2021 Census records could potentially improve the placement of the donor households and be used in the following ways: </w:t>
      </w:r>
    </w:p>
    <w:p w14:paraId="72A7F8DB" w14:textId="77777777" w:rsidR="00BF399A" w:rsidRPr="00D26429" w:rsidRDefault="00BF399A" w:rsidP="00BF399A">
      <w:pPr>
        <w:pStyle w:val="Heading3"/>
        <w:numPr>
          <w:ilvl w:val="0"/>
          <w:numId w:val="18"/>
        </w:numPr>
        <w:spacing w:before="0" w:after="200" w:line="240" w:lineRule="auto"/>
        <w:ind w:left="714" w:hanging="357"/>
        <w:rPr>
          <w:rFonts w:asciiTheme="minorHAnsi" w:hAnsiTheme="minorHAnsi"/>
          <w:color w:val="auto"/>
        </w:rPr>
      </w:pPr>
      <w:r w:rsidRPr="00D26429">
        <w:rPr>
          <w:rFonts w:asciiTheme="minorHAnsi" w:hAnsiTheme="minorHAnsi"/>
          <w:color w:val="auto"/>
        </w:rPr>
        <w:t>Additional variable information at unit or area level</w:t>
      </w:r>
    </w:p>
    <w:p w14:paraId="3102D1C9" w14:textId="77777777" w:rsidR="00BF399A" w:rsidRPr="00D26429" w:rsidRDefault="00BF399A" w:rsidP="00BF399A">
      <w:pPr>
        <w:pStyle w:val="ListParagraph"/>
        <w:spacing w:line="240" w:lineRule="auto"/>
        <w:ind w:left="0"/>
        <w:contextualSpacing w:val="0"/>
        <w:rPr>
          <w:sz w:val="24"/>
          <w:szCs w:val="24"/>
        </w:rPr>
      </w:pPr>
      <w:r w:rsidRPr="00D26429">
        <w:rPr>
          <w:sz w:val="24"/>
          <w:szCs w:val="24"/>
        </w:rPr>
        <w:t>For records where there is a link between the census and an administrative data source</w:t>
      </w:r>
      <w:r>
        <w:rPr>
          <w:sz w:val="24"/>
          <w:szCs w:val="24"/>
        </w:rPr>
        <w:t xml:space="preserve"> (</w:t>
      </w:r>
      <w:r w:rsidRPr="00D26429">
        <w:rPr>
          <w:sz w:val="24"/>
          <w:szCs w:val="24"/>
        </w:rPr>
        <w:t>either dummy form records or census responses</w:t>
      </w:r>
      <w:r>
        <w:rPr>
          <w:sz w:val="24"/>
          <w:szCs w:val="24"/>
        </w:rPr>
        <w:t>)</w:t>
      </w:r>
      <w:r w:rsidRPr="00D26429">
        <w:rPr>
          <w:sz w:val="24"/>
          <w:szCs w:val="24"/>
        </w:rPr>
        <w:t xml:space="preserve"> we could make use of additional or alternative variables from the administrative data. So, for the dummy form records in their unit level comparisons to the dono</w:t>
      </w:r>
      <w:bookmarkStart w:id="5" w:name="_GoBack"/>
      <w:bookmarkEnd w:id="5"/>
      <w:r w:rsidRPr="00D26429">
        <w:rPr>
          <w:sz w:val="24"/>
          <w:szCs w:val="24"/>
        </w:rPr>
        <w:t xml:space="preserve">r households. For example, if dummy forms were linked to council tax data with a variable indicating a council tax discount for a one-person household, donors with a household size of one could have an increased score for these dummy form records. Or, household structure, which was used </w:t>
      </w:r>
      <w:r>
        <w:rPr>
          <w:sz w:val="24"/>
          <w:szCs w:val="24"/>
        </w:rPr>
        <w:t>at output area</w:t>
      </w:r>
      <w:r w:rsidRPr="00D26429">
        <w:rPr>
          <w:sz w:val="24"/>
          <w:szCs w:val="24"/>
        </w:rPr>
        <w:t xml:space="preserve"> </w:t>
      </w:r>
      <w:r>
        <w:rPr>
          <w:sz w:val="24"/>
          <w:szCs w:val="24"/>
        </w:rPr>
        <w:t xml:space="preserve">(OA) </w:t>
      </w:r>
      <w:r w:rsidRPr="00D26429">
        <w:rPr>
          <w:sz w:val="24"/>
          <w:szCs w:val="24"/>
        </w:rPr>
        <w:t>level for the dummy forms in 2011, could be derived from the</w:t>
      </w:r>
      <w:r>
        <w:rPr>
          <w:sz w:val="24"/>
          <w:szCs w:val="24"/>
        </w:rPr>
        <w:t xml:space="preserve"> “Administrative based population estimates” (</w:t>
      </w:r>
      <w:r w:rsidRPr="00D26429">
        <w:rPr>
          <w:sz w:val="24"/>
          <w:szCs w:val="24"/>
        </w:rPr>
        <w:t>ABPE</w:t>
      </w:r>
      <w:r>
        <w:rPr>
          <w:sz w:val="24"/>
          <w:szCs w:val="24"/>
        </w:rPr>
        <w:t>)</w:t>
      </w:r>
      <w:r w:rsidRPr="00D26429">
        <w:rPr>
          <w:sz w:val="24"/>
          <w:szCs w:val="24"/>
        </w:rPr>
        <w:t xml:space="preserve"> to allow a unit level comparison where there wasn’t one before (</w:t>
      </w:r>
      <w:r>
        <w:rPr>
          <w:sz w:val="24"/>
          <w:szCs w:val="24"/>
        </w:rPr>
        <w:t xml:space="preserve">assuming </w:t>
      </w:r>
      <w:r w:rsidRPr="00D26429">
        <w:rPr>
          <w:sz w:val="24"/>
          <w:szCs w:val="24"/>
        </w:rPr>
        <w:t xml:space="preserve">the ABPE </w:t>
      </w:r>
      <w:r>
        <w:rPr>
          <w:sz w:val="24"/>
          <w:szCs w:val="24"/>
        </w:rPr>
        <w:t>c</w:t>
      </w:r>
      <w:r w:rsidRPr="00D26429">
        <w:rPr>
          <w:sz w:val="24"/>
          <w:szCs w:val="24"/>
        </w:rPr>
        <w:t>ould be available in time).</w:t>
      </w:r>
    </w:p>
    <w:p w14:paraId="5436D8F8" w14:textId="77777777" w:rsidR="00BF399A" w:rsidRPr="00D26429" w:rsidRDefault="00BF399A" w:rsidP="00BF399A">
      <w:pPr>
        <w:spacing w:line="240" w:lineRule="auto"/>
        <w:rPr>
          <w:sz w:val="24"/>
          <w:szCs w:val="24"/>
        </w:rPr>
      </w:pPr>
      <w:r w:rsidRPr="00D26429">
        <w:rPr>
          <w:sz w:val="24"/>
          <w:szCs w:val="24"/>
        </w:rPr>
        <w:t xml:space="preserve">Another option may be to create OA level indicators from the additional variables to inform placement of a donor household in a dummy form or postcode, rather than compare at the unit level. Or, use OA level distributions rather than indicators, so there would be information about how prevalent a variable’s category (e.g. proportion of households/properties with the accommodation type detached) is in an area.  </w:t>
      </w:r>
    </w:p>
    <w:p w14:paraId="572E90D6" w14:textId="77777777" w:rsidR="00BF399A" w:rsidRPr="00D26429" w:rsidRDefault="00BF399A" w:rsidP="00BF399A">
      <w:pPr>
        <w:spacing w:afterLines="200" w:after="480" w:line="240" w:lineRule="auto"/>
        <w:rPr>
          <w:sz w:val="24"/>
          <w:szCs w:val="24"/>
        </w:rPr>
      </w:pPr>
      <w:r>
        <w:rPr>
          <w:sz w:val="24"/>
          <w:szCs w:val="24"/>
        </w:rPr>
        <w:t>Although it</w:t>
      </w:r>
      <w:r w:rsidRPr="00D26429">
        <w:rPr>
          <w:sz w:val="24"/>
          <w:szCs w:val="24"/>
        </w:rPr>
        <w:t xml:space="preserve"> is likely that not all census records and dummy forms will be</w:t>
      </w:r>
      <w:r>
        <w:rPr>
          <w:sz w:val="24"/>
          <w:szCs w:val="24"/>
        </w:rPr>
        <w:t xml:space="preserve"> successfully</w:t>
      </w:r>
      <w:r w:rsidRPr="00D26429">
        <w:rPr>
          <w:sz w:val="24"/>
          <w:szCs w:val="24"/>
        </w:rPr>
        <w:t xml:space="preserve"> linked to the </w:t>
      </w:r>
      <w:r>
        <w:rPr>
          <w:sz w:val="24"/>
          <w:szCs w:val="24"/>
        </w:rPr>
        <w:t xml:space="preserve">specific </w:t>
      </w:r>
      <w:r w:rsidRPr="00D26429">
        <w:rPr>
          <w:sz w:val="24"/>
          <w:szCs w:val="24"/>
        </w:rPr>
        <w:t>administrative source</w:t>
      </w:r>
      <w:r>
        <w:rPr>
          <w:sz w:val="24"/>
          <w:szCs w:val="24"/>
        </w:rPr>
        <w:t xml:space="preserve"> </w:t>
      </w:r>
      <w:r w:rsidRPr="00D26429">
        <w:rPr>
          <w:sz w:val="24"/>
          <w:szCs w:val="24"/>
        </w:rPr>
        <w:t>via the UPRN</w:t>
      </w:r>
      <w:r>
        <w:rPr>
          <w:sz w:val="24"/>
          <w:szCs w:val="24"/>
        </w:rPr>
        <w:t>,</w:t>
      </w:r>
      <w:r w:rsidRPr="00D26429">
        <w:rPr>
          <w:sz w:val="24"/>
          <w:szCs w:val="24"/>
        </w:rPr>
        <w:t xml:space="preserve"> </w:t>
      </w:r>
      <w:r>
        <w:rPr>
          <w:sz w:val="24"/>
          <w:szCs w:val="24"/>
        </w:rPr>
        <w:t>additional information (from administrative data) for the records that are successfully linked would still (potentially) improve the placement</w:t>
      </w:r>
      <w:r w:rsidRPr="00D26429">
        <w:rPr>
          <w:sz w:val="24"/>
          <w:szCs w:val="24"/>
        </w:rPr>
        <w:t xml:space="preserve">. </w:t>
      </w:r>
      <w:r>
        <w:rPr>
          <w:sz w:val="24"/>
          <w:szCs w:val="24"/>
        </w:rPr>
        <w:t xml:space="preserve">Obtaining the best match of the donors to postcodes using whatever evidence is available to inform this, can be undertaken on a case by case basis.  </w:t>
      </w:r>
      <w:r w:rsidRPr="00D26429">
        <w:rPr>
          <w:sz w:val="24"/>
          <w:szCs w:val="24"/>
        </w:rPr>
        <w:t xml:space="preserve">OA </w:t>
      </w:r>
      <w:r>
        <w:rPr>
          <w:sz w:val="24"/>
          <w:szCs w:val="24"/>
        </w:rPr>
        <w:t xml:space="preserve">(as well as unit) </w:t>
      </w:r>
      <w:r w:rsidRPr="00D26429">
        <w:rPr>
          <w:sz w:val="24"/>
          <w:szCs w:val="24"/>
        </w:rPr>
        <w:t xml:space="preserve">level indicator variables may also help; </w:t>
      </w:r>
      <w:proofErr w:type="gramStart"/>
      <w:r w:rsidRPr="00D26429">
        <w:rPr>
          <w:sz w:val="24"/>
          <w:szCs w:val="24"/>
        </w:rPr>
        <w:t>however</w:t>
      </w:r>
      <w:proofErr w:type="gramEnd"/>
      <w:r w:rsidRPr="00D26429">
        <w:rPr>
          <w:sz w:val="24"/>
          <w:szCs w:val="24"/>
        </w:rPr>
        <w:t xml:space="preserve"> </w:t>
      </w:r>
      <w:r>
        <w:rPr>
          <w:sz w:val="24"/>
          <w:szCs w:val="24"/>
        </w:rPr>
        <w:t xml:space="preserve">a judgement will need to be made as to whether the </w:t>
      </w:r>
      <w:r w:rsidRPr="00D26429">
        <w:rPr>
          <w:sz w:val="24"/>
          <w:szCs w:val="24"/>
        </w:rPr>
        <w:t xml:space="preserve">census responses </w:t>
      </w:r>
      <w:r>
        <w:rPr>
          <w:sz w:val="24"/>
          <w:szCs w:val="24"/>
        </w:rPr>
        <w:t>p</w:t>
      </w:r>
      <w:r w:rsidRPr="00D26429">
        <w:rPr>
          <w:sz w:val="24"/>
          <w:szCs w:val="24"/>
        </w:rPr>
        <w:t xml:space="preserve">rovide </w:t>
      </w:r>
      <w:r>
        <w:rPr>
          <w:sz w:val="24"/>
          <w:szCs w:val="24"/>
        </w:rPr>
        <w:t>more complete and higher</w:t>
      </w:r>
      <w:r w:rsidRPr="00D26429">
        <w:rPr>
          <w:sz w:val="24"/>
          <w:szCs w:val="24"/>
        </w:rPr>
        <w:t xml:space="preserve"> </w:t>
      </w:r>
      <w:r>
        <w:rPr>
          <w:sz w:val="24"/>
          <w:szCs w:val="24"/>
        </w:rPr>
        <w:t xml:space="preserve">quality </w:t>
      </w:r>
      <w:r w:rsidRPr="00D26429">
        <w:rPr>
          <w:sz w:val="24"/>
          <w:szCs w:val="24"/>
        </w:rPr>
        <w:t>OA level information</w:t>
      </w:r>
      <w:r>
        <w:rPr>
          <w:sz w:val="24"/>
          <w:szCs w:val="24"/>
        </w:rPr>
        <w:t xml:space="preserve"> even though they exclude census non-respondents</w:t>
      </w:r>
      <w:r w:rsidRPr="00D26429">
        <w:rPr>
          <w:sz w:val="24"/>
          <w:szCs w:val="24"/>
        </w:rPr>
        <w:t>.</w:t>
      </w:r>
    </w:p>
    <w:p w14:paraId="30774D6A" w14:textId="77777777" w:rsidR="00BF399A" w:rsidRPr="00D26429" w:rsidRDefault="00BF399A" w:rsidP="00BF399A">
      <w:pPr>
        <w:pStyle w:val="Heading3"/>
        <w:numPr>
          <w:ilvl w:val="0"/>
          <w:numId w:val="18"/>
        </w:numPr>
        <w:spacing w:before="0" w:after="200" w:line="240" w:lineRule="auto"/>
        <w:ind w:left="714" w:hanging="357"/>
        <w:rPr>
          <w:rFonts w:asciiTheme="minorHAnsi" w:hAnsiTheme="minorHAnsi"/>
          <w:color w:val="auto"/>
        </w:rPr>
      </w:pPr>
      <w:r w:rsidRPr="00D26429">
        <w:rPr>
          <w:rFonts w:asciiTheme="minorHAnsi" w:hAnsiTheme="minorHAnsi"/>
          <w:color w:val="auto"/>
        </w:rPr>
        <w:t>Validation</w:t>
      </w:r>
    </w:p>
    <w:p w14:paraId="6BE1B605" w14:textId="77777777" w:rsidR="00BF399A" w:rsidRPr="00D26429" w:rsidRDefault="00BF399A" w:rsidP="00BF399A">
      <w:pPr>
        <w:spacing w:line="240" w:lineRule="auto"/>
        <w:rPr>
          <w:sz w:val="24"/>
          <w:szCs w:val="24"/>
        </w:rPr>
      </w:pPr>
      <w:r w:rsidRPr="00D26429">
        <w:rPr>
          <w:sz w:val="24"/>
          <w:szCs w:val="24"/>
        </w:rPr>
        <w:t xml:space="preserve">If the </w:t>
      </w:r>
      <w:r>
        <w:rPr>
          <w:sz w:val="24"/>
          <w:szCs w:val="24"/>
        </w:rPr>
        <w:t xml:space="preserve">administrative </w:t>
      </w:r>
      <w:r w:rsidRPr="00D26429">
        <w:rPr>
          <w:sz w:val="24"/>
          <w:szCs w:val="24"/>
        </w:rPr>
        <w:t xml:space="preserve">data cannot be used directly, it could potentially be used at the end of the adjustment to validate the number or characteristics of households that have been placed by geographical area, with consideration of the possible difference in definitions (i.e. household vs. address) and how recent activity/interaction with a service was at an address. </w:t>
      </w:r>
    </w:p>
    <w:p w14:paraId="4D10C7D7" w14:textId="77777777" w:rsidR="00BF399A" w:rsidRDefault="00BF399A" w:rsidP="00BF399A">
      <w:pPr>
        <w:spacing w:line="240" w:lineRule="auto"/>
        <w:rPr>
          <w:sz w:val="24"/>
          <w:szCs w:val="24"/>
        </w:rPr>
      </w:pPr>
      <w:r w:rsidRPr="00D26429">
        <w:rPr>
          <w:sz w:val="24"/>
          <w:szCs w:val="24"/>
        </w:rPr>
        <w:t xml:space="preserve">Table </w:t>
      </w:r>
      <w:r>
        <w:rPr>
          <w:sz w:val="24"/>
          <w:szCs w:val="24"/>
        </w:rPr>
        <w:t>7</w:t>
      </w:r>
      <w:r w:rsidRPr="00D26429">
        <w:rPr>
          <w:sz w:val="24"/>
          <w:szCs w:val="24"/>
        </w:rPr>
        <w:t xml:space="preserve"> shows the information available in different administrative data sources and how it might help to inform the placement of donors. </w:t>
      </w:r>
    </w:p>
    <w:p w14:paraId="17CF5DD9" w14:textId="77777777" w:rsidR="00BF399A" w:rsidRDefault="00BF399A" w:rsidP="00BF399A">
      <w:pPr>
        <w:spacing w:line="240" w:lineRule="auto"/>
        <w:rPr>
          <w:b/>
          <w:sz w:val="24"/>
          <w:szCs w:val="24"/>
        </w:rPr>
      </w:pPr>
    </w:p>
    <w:p w14:paraId="0950000A" w14:textId="77777777" w:rsidR="00BF399A" w:rsidRDefault="00BF399A" w:rsidP="00BF399A">
      <w:pPr>
        <w:spacing w:line="240" w:lineRule="auto"/>
        <w:rPr>
          <w:b/>
          <w:sz w:val="24"/>
          <w:szCs w:val="24"/>
        </w:rPr>
      </w:pPr>
    </w:p>
    <w:p w14:paraId="5D1E2791" w14:textId="77777777" w:rsidR="00BF399A" w:rsidRPr="00742D8F" w:rsidRDefault="00BF399A" w:rsidP="00BF399A">
      <w:pPr>
        <w:spacing w:line="240" w:lineRule="auto"/>
        <w:rPr>
          <w:b/>
          <w:sz w:val="24"/>
          <w:szCs w:val="24"/>
        </w:rPr>
      </w:pPr>
      <w:r w:rsidRPr="00742D8F">
        <w:rPr>
          <w:b/>
          <w:sz w:val="24"/>
          <w:szCs w:val="24"/>
        </w:rPr>
        <w:lastRenderedPageBreak/>
        <w:t xml:space="preserve">Table </w:t>
      </w:r>
      <w:r>
        <w:rPr>
          <w:b/>
          <w:sz w:val="24"/>
          <w:szCs w:val="24"/>
        </w:rPr>
        <w:t>7</w:t>
      </w:r>
      <w:r w:rsidRPr="00742D8F">
        <w:rPr>
          <w:b/>
          <w:sz w:val="24"/>
          <w:szCs w:val="24"/>
        </w:rPr>
        <w:t xml:space="preserve">   Potential variable information available by administrative data source for use within the </w:t>
      </w:r>
      <w:r>
        <w:rPr>
          <w:b/>
          <w:sz w:val="24"/>
          <w:szCs w:val="24"/>
        </w:rPr>
        <w:t>c</w:t>
      </w:r>
      <w:r w:rsidRPr="00742D8F">
        <w:rPr>
          <w:b/>
          <w:sz w:val="24"/>
          <w:szCs w:val="24"/>
        </w:rPr>
        <w:t>ensus adjustment</w:t>
      </w:r>
    </w:p>
    <w:tbl>
      <w:tblPr>
        <w:tblStyle w:val="TableGrid"/>
        <w:tblW w:w="0" w:type="auto"/>
        <w:tblInd w:w="0" w:type="dxa"/>
        <w:tblLook w:val="04A0" w:firstRow="1" w:lastRow="0" w:firstColumn="1" w:lastColumn="0" w:noHBand="0" w:noVBand="1"/>
      </w:tblPr>
      <w:tblGrid>
        <w:gridCol w:w="1555"/>
        <w:gridCol w:w="4110"/>
        <w:gridCol w:w="3402"/>
      </w:tblGrid>
      <w:tr w:rsidR="00BF399A" w14:paraId="614ABDBB" w14:textId="77777777" w:rsidTr="00D308D9">
        <w:tc>
          <w:tcPr>
            <w:tcW w:w="1555" w:type="dxa"/>
            <w:tcBorders>
              <w:bottom w:val="single" w:sz="12" w:space="0" w:color="auto"/>
            </w:tcBorders>
          </w:tcPr>
          <w:p w14:paraId="68E0DEC2" w14:textId="77777777" w:rsidR="00BF399A" w:rsidRPr="00412ABA" w:rsidRDefault="00BF399A" w:rsidP="00D308D9">
            <w:pPr>
              <w:rPr>
                <w:b/>
                <w:sz w:val="24"/>
                <w:szCs w:val="24"/>
              </w:rPr>
            </w:pPr>
            <w:r w:rsidRPr="00412ABA">
              <w:rPr>
                <w:b/>
                <w:sz w:val="24"/>
                <w:szCs w:val="24"/>
              </w:rPr>
              <w:t>Source</w:t>
            </w:r>
          </w:p>
        </w:tc>
        <w:tc>
          <w:tcPr>
            <w:tcW w:w="4110" w:type="dxa"/>
            <w:tcBorders>
              <w:bottom w:val="single" w:sz="12" w:space="0" w:color="auto"/>
            </w:tcBorders>
          </w:tcPr>
          <w:p w14:paraId="15CEA6B3" w14:textId="77777777" w:rsidR="00BF399A" w:rsidRPr="00412ABA" w:rsidRDefault="00BF399A" w:rsidP="00D308D9">
            <w:pPr>
              <w:rPr>
                <w:b/>
                <w:sz w:val="24"/>
                <w:szCs w:val="24"/>
              </w:rPr>
            </w:pPr>
            <w:r w:rsidRPr="00412ABA">
              <w:rPr>
                <w:b/>
                <w:sz w:val="24"/>
                <w:szCs w:val="24"/>
              </w:rPr>
              <w:t>Variable</w:t>
            </w:r>
          </w:p>
        </w:tc>
        <w:tc>
          <w:tcPr>
            <w:tcW w:w="3402" w:type="dxa"/>
            <w:tcBorders>
              <w:bottom w:val="single" w:sz="12" w:space="0" w:color="auto"/>
            </w:tcBorders>
          </w:tcPr>
          <w:p w14:paraId="33DDDBEC" w14:textId="77777777" w:rsidR="00BF399A" w:rsidRPr="00412ABA" w:rsidRDefault="00BF399A" w:rsidP="00D308D9">
            <w:pPr>
              <w:rPr>
                <w:b/>
                <w:sz w:val="24"/>
                <w:szCs w:val="24"/>
              </w:rPr>
            </w:pPr>
            <w:r w:rsidRPr="00412ABA">
              <w:rPr>
                <w:b/>
                <w:sz w:val="24"/>
                <w:szCs w:val="24"/>
              </w:rPr>
              <w:t>Comparison with donor</w:t>
            </w:r>
          </w:p>
        </w:tc>
      </w:tr>
      <w:tr w:rsidR="00BF399A" w14:paraId="7A024C2A" w14:textId="77777777" w:rsidTr="00D308D9">
        <w:tc>
          <w:tcPr>
            <w:tcW w:w="1555" w:type="dxa"/>
            <w:tcBorders>
              <w:top w:val="single" w:sz="12" w:space="0" w:color="auto"/>
            </w:tcBorders>
          </w:tcPr>
          <w:p w14:paraId="0B5D9657" w14:textId="77777777" w:rsidR="00BF399A" w:rsidRPr="00412ABA" w:rsidRDefault="00BF399A" w:rsidP="00D308D9">
            <w:pPr>
              <w:rPr>
                <w:sz w:val="24"/>
                <w:szCs w:val="24"/>
              </w:rPr>
            </w:pPr>
            <w:r w:rsidRPr="00412ABA">
              <w:rPr>
                <w:sz w:val="24"/>
                <w:szCs w:val="24"/>
              </w:rPr>
              <w:t>VOA</w:t>
            </w:r>
          </w:p>
        </w:tc>
        <w:tc>
          <w:tcPr>
            <w:tcW w:w="4110" w:type="dxa"/>
            <w:tcBorders>
              <w:top w:val="single" w:sz="12" w:space="0" w:color="auto"/>
            </w:tcBorders>
          </w:tcPr>
          <w:p w14:paraId="205D2E32" w14:textId="77777777" w:rsidR="00BF399A" w:rsidRPr="00412ABA" w:rsidRDefault="00BF399A" w:rsidP="00D308D9">
            <w:pPr>
              <w:rPr>
                <w:sz w:val="24"/>
                <w:szCs w:val="24"/>
              </w:rPr>
            </w:pPr>
            <w:r w:rsidRPr="00412ABA">
              <w:rPr>
                <w:sz w:val="24"/>
                <w:szCs w:val="24"/>
              </w:rPr>
              <w:t>Number of bedrooms</w:t>
            </w:r>
          </w:p>
        </w:tc>
        <w:tc>
          <w:tcPr>
            <w:tcW w:w="3402" w:type="dxa"/>
            <w:tcBorders>
              <w:top w:val="single" w:sz="12" w:space="0" w:color="auto"/>
            </w:tcBorders>
          </w:tcPr>
          <w:p w14:paraId="31C1FC8C" w14:textId="77777777" w:rsidR="00BF399A" w:rsidRPr="00412ABA" w:rsidRDefault="00BF399A" w:rsidP="00D308D9">
            <w:pPr>
              <w:rPr>
                <w:sz w:val="24"/>
                <w:szCs w:val="24"/>
              </w:rPr>
            </w:pPr>
            <w:r w:rsidRPr="00412ABA">
              <w:rPr>
                <w:sz w:val="24"/>
                <w:szCs w:val="24"/>
              </w:rPr>
              <w:t>Household size?</w:t>
            </w:r>
          </w:p>
        </w:tc>
      </w:tr>
      <w:tr w:rsidR="00BF399A" w14:paraId="50E6C2BB" w14:textId="77777777" w:rsidTr="00D308D9">
        <w:tc>
          <w:tcPr>
            <w:tcW w:w="1555" w:type="dxa"/>
          </w:tcPr>
          <w:p w14:paraId="4530E822" w14:textId="77777777" w:rsidR="00BF399A" w:rsidRPr="00412ABA" w:rsidRDefault="00BF399A" w:rsidP="00D308D9">
            <w:pPr>
              <w:rPr>
                <w:sz w:val="24"/>
                <w:szCs w:val="24"/>
              </w:rPr>
            </w:pPr>
            <w:r w:rsidRPr="00412ABA">
              <w:rPr>
                <w:sz w:val="24"/>
                <w:szCs w:val="24"/>
              </w:rPr>
              <w:t>VOA</w:t>
            </w:r>
          </w:p>
        </w:tc>
        <w:tc>
          <w:tcPr>
            <w:tcW w:w="4110" w:type="dxa"/>
          </w:tcPr>
          <w:p w14:paraId="00464A61" w14:textId="77777777" w:rsidR="00BF399A" w:rsidRPr="00412ABA" w:rsidRDefault="00BF399A" w:rsidP="00D308D9">
            <w:pPr>
              <w:rPr>
                <w:sz w:val="24"/>
                <w:szCs w:val="24"/>
              </w:rPr>
            </w:pPr>
            <w:r w:rsidRPr="00412ABA">
              <w:rPr>
                <w:sz w:val="24"/>
                <w:szCs w:val="24"/>
              </w:rPr>
              <w:t>Property type</w:t>
            </w:r>
          </w:p>
        </w:tc>
        <w:tc>
          <w:tcPr>
            <w:tcW w:w="3402" w:type="dxa"/>
          </w:tcPr>
          <w:p w14:paraId="23A01F8A" w14:textId="77777777" w:rsidR="00BF399A" w:rsidRPr="00412ABA" w:rsidRDefault="00BF399A" w:rsidP="00D308D9">
            <w:pPr>
              <w:rPr>
                <w:sz w:val="24"/>
                <w:szCs w:val="24"/>
              </w:rPr>
            </w:pPr>
            <w:r w:rsidRPr="00412ABA">
              <w:rPr>
                <w:sz w:val="24"/>
                <w:szCs w:val="24"/>
              </w:rPr>
              <w:t>Accommodation type with more detailed categories than census</w:t>
            </w:r>
          </w:p>
        </w:tc>
      </w:tr>
      <w:tr w:rsidR="00BF399A" w14:paraId="5C29CF53" w14:textId="77777777" w:rsidTr="00D308D9">
        <w:tc>
          <w:tcPr>
            <w:tcW w:w="1555" w:type="dxa"/>
          </w:tcPr>
          <w:p w14:paraId="3FC960BE" w14:textId="77777777" w:rsidR="00BF399A" w:rsidRPr="00412ABA" w:rsidRDefault="00BF399A" w:rsidP="00D308D9">
            <w:pPr>
              <w:rPr>
                <w:sz w:val="24"/>
                <w:szCs w:val="24"/>
              </w:rPr>
            </w:pPr>
            <w:r w:rsidRPr="00412ABA">
              <w:rPr>
                <w:sz w:val="24"/>
                <w:szCs w:val="24"/>
              </w:rPr>
              <w:t>Council tax</w:t>
            </w:r>
          </w:p>
        </w:tc>
        <w:tc>
          <w:tcPr>
            <w:tcW w:w="4110" w:type="dxa"/>
          </w:tcPr>
          <w:p w14:paraId="2B912693" w14:textId="77777777" w:rsidR="00BF399A" w:rsidRPr="00412ABA" w:rsidRDefault="00BF399A" w:rsidP="00D308D9">
            <w:pPr>
              <w:rPr>
                <w:sz w:val="24"/>
                <w:szCs w:val="24"/>
              </w:rPr>
            </w:pPr>
            <w:r w:rsidRPr="00412ABA">
              <w:rPr>
                <w:sz w:val="24"/>
                <w:szCs w:val="24"/>
              </w:rPr>
              <w:t>Flag to indicate exemption from paying council tax for student household</w:t>
            </w:r>
          </w:p>
        </w:tc>
        <w:tc>
          <w:tcPr>
            <w:tcW w:w="3402" w:type="dxa"/>
          </w:tcPr>
          <w:p w14:paraId="7A81AF2A" w14:textId="77777777" w:rsidR="00BF399A" w:rsidRPr="00412ABA" w:rsidRDefault="00BF399A" w:rsidP="00D308D9">
            <w:pPr>
              <w:rPr>
                <w:sz w:val="24"/>
                <w:szCs w:val="24"/>
              </w:rPr>
            </w:pPr>
            <w:r w:rsidRPr="00412ABA">
              <w:rPr>
                <w:sz w:val="24"/>
                <w:szCs w:val="24"/>
              </w:rPr>
              <w:t>Activity last week</w:t>
            </w:r>
          </w:p>
        </w:tc>
      </w:tr>
      <w:tr w:rsidR="00BF399A" w14:paraId="7FA19C83" w14:textId="77777777" w:rsidTr="00D308D9">
        <w:tc>
          <w:tcPr>
            <w:tcW w:w="1555" w:type="dxa"/>
          </w:tcPr>
          <w:p w14:paraId="4B0380BD" w14:textId="77777777" w:rsidR="00BF399A" w:rsidRPr="00412ABA" w:rsidRDefault="00BF399A" w:rsidP="00D308D9">
            <w:pPr>
              <w:rPr>
                <w:sz w:val="24"/>
                <w:szCs w:val="24"/>
              </w:rPr>
            </w:pPr>
            <w:r w:rsidRPr="00412ABA">
              <w:rPr>
                <w:sz w:val="24"/>
                <w:szCs w:val="24"/>
              </w:rPr>
              <w:t>Council tax</w:t>
            </w:r>
          </w:p>
        </w:tc>
        <w:tc>
          <w:tcPr>
            <w:tcW w:w="4110" w:type="dxa"/>
          </w:tcPr>
          <w:p w14:paraId="606EA77A" w14:textId="77777777" w:rsidR="00BF399A" w:rsidRPr="00412ABA" w:rsidRDefault="00BF399A" w:rsidP="00D308D9">
            <w:pPr>
              <w:rPr>
                <w:sz w:val="24"/>
                <w:szCs w:val="24"/>
              </w:rPr>
            </w:pPr>
            <w:r w:rsidRPr="00412ABA">
              <w:rPr>
                <w:sz w:val="24"/>
                <w:szCs w:val="24"/>
              </w:rPr>
              <w:t>Flag to indicate discount in council tax payment for single person household</w:t>
            </w:r>
          </w:p>
        </w:tc>
        <w:tc>
          <w:tcPr>
            <w:tcW w:w="3402" w:type="dxa"/>
          </w:tcPr>
          <w:p w14:paraId="101BE4D7" w14:textId="77777777" w:rsidR="00BF399A" w:rsidRPr="00412ABA" w:rsidRDefault="00BF399A" w:rsidP="00D308D9">
            <w:pPr>
              <w:rPr>
                <w:sz w:val="24"/>
                <w:szCs w:val="24"/>
              </w:rPr>
            </w:pPr>
            <w:r w:rsidRPr="00412ABA">
              <w:rPr>
                <w:sz w:val="24"/>
                <w:szCs w:val="24"/>
              </w:rPr>
              <w:t>Household size</w:t>
            </w:r>
          </w:p>
          <w:p w14:paraId="1926C6B4" w14:textId="77777777" w:rsidR="00BF399A" w:rsidRPr="00412ABA" w:rsidRDefault="00BF399A" w:rsidP="00D308D9">
            <w:pPr>
              <w:rPr>
                <w:sz w:val="24"/>
                <w:szCs w:val="24"/>
              </w:rPr>
            </w:pPr>
          </w:p>
        </w:tc>
      </w:tr>
      <w:tr w:rsidR="00BF399A" w14:paraId="052871EF" w14:textId="77777777" w:rsidTr="00D308D9">
        <w:tc>
          <w:tcPr>
            <w:tcW w:w="1555" w:type="dxa"/>
          </w:tcPr>
          <w:p w14:paraId="75FE4579" w14:textId="77777777" w:rsidR="00BF399A" w:rsidRPr="00412ABA" w:rsidRDefault="00BF399A" w:rsidP="00D308D9">
            <w:pPr>
              <w:rPr>
                <w:sz w:val="24"/>
                <w:szCs w:val="24"/>
              </w:rPr>
            </w:pPr>
            <w:r w:rsidRPr="00412ABA">
              <w:rPr>
                <w:sz w:val="24"/>
                <w:szCs w:val="24"/>
              </w:rPr>
              <w:t>Council tax</w:t>
            </w:r>
          </w:p>
        </w:tc>
        <w:tc>
          <w:tcPr>
            <w:tcW w:w="4110" w:type="dxa"/>
          </w:tcPr>
          <w:p w14:paraId="36BC24C6" w14:textId="77777777" w:rsidR="00BF399A" w:rsidRPr="00412ABA" w:rsidRDefault="00BF399A" w:rsidP="00D308D9">
            <w:pPr>
              <w:rPr>
                <w:sz w:val="24"/>
                <w:szCs w:val="24"/>
              </w:rPr>
            </w:pPr>
            <w:r w:rsidRPr="00412ABA">
              <w:rPr>
                <w:sz w:val="24"/>
                <w:szCs w:val="24"/>
              </w:rPr>
              <w:t>Flag to indicate discount in council tax payment for empty or second home</w:t>
            </w:r>
          </w:p>
        </w:tc>
        <w:tc>
          <w:tcPr>
            <w:tcW w:w="3402" w:type="dxa"/>
          </w:tcPr>
          <w:p w14:paraId="6ADB9678" w14:textId="77777777" w:rsidR="00BF399A" w:rsidRPr="002E1C25" w:rsidRDefault="00BF399A" w:rsidP="00D308D9">
            <w:pPr>
              <w:rPr>
                <w:sz w:val="24"/>
                <w:szCs w:val="24"/>
              </w:rPr>
            </w:pPr>
            <w:r w:rsidRPr="002E1C25">
              <w:rPr>
                <w:sz w:val="24"/>
                <w:szCs w:val="24"/>
              </w:rPr>
              <w:t>flag for not to be used as a space</w:t>
            </w:r>
            <w:r>
              <w:rPr>
                <w:sz w:val="24"/>
                <w:szCs w:val="24"/>
              </w:rPr>
              <w:t>.</w:t>
            </w:r>
          </w:p>
        </w:tc>
      </w:tr>
      <w:tr w:rsidR="00BF399A" w14:paraId="2D86DCA6" w14:textId="77777777" w:rsidTr="00D308D9">
        <w:tc>
          <w:tcPr>
            <w:tcW w:w="1555" w:type="dxa"/>
          </w:tcPr>
          <w:p w14:paraId="7BA78682" w14:textId="77777777" w:rsidR="00BF399A" w:rsidRPr="00412ABA" w:rsidRDefault="00BF399A" w:rsidP="00D308D9">
            <w:pPr>
              <w:rPr>
                <w:sz w:val="24"/>
                <w:szCs w:val="24"/>
              </w:rPr>
            </w:pPr>
            <w:r w:rsidRPr="00412ABA">
              <w:rPr>
                <w:sz w:val="24"/>
                <w:szCs w:val="24"/>
              </w:rPr>
              <w:t>ABPE</w:t>
            </w:r>
          </w:p>
        </w:tc>
        <w:tc>
          <w:tcPr>
            <w:tcW w:w="4110" w:type="dxa"/>
          </w:tcPr>
          <w:p w14:paraId="64E01B44" w14:textId="77777777" w:rsidR="00BF399A" w:rsidRPr="00412ABA" w:rsidRDefault="00BF399A" w:rsidP="00D308D9">
            <w:pPr>
              <w:rPr>
                <w:sz w:val="24"/>
                <w:szCs w:val="24"/>
              </w:rPr>
            </w:pPr>
            <w:r w:rsidRPr="00412ABA">
              <w:rPr>
                <w:sz w:val="24"/>
                <w:szCs w:val="24"/>
              </w:rPr>
              <w:t>Household composition</w:t>
            </w:r>
          </w:p>
        </w:tc>
        <w:tc>
          <w:tcPr>
            <w:tcW w:w="3402" w:type="dxa"/>
          </w:tcPr>
          <w:p w14:paraId="0482EB3B" w14:textId="77777777" w:rsidR="00BF399A" w:rsidRPr="00412ABA" w:rsidRDefault="00BF399A" w:rsidP="00D308D9">
            <w:pPr>
              <w:rPr>
                <w:sz w:val="24"/>
                <w:szCs w:val="24"/>
              </w:rPr>
            </w:pPr>
            <w:r w:rsidRPr="00412ABA">
              <w:rPr>
                <w:sz w:val="24"/>
                <w:szCs w:val="24"/>
              </w:rPr>
              <w:t>Household structure</w:t>
            </w:r>
          </w:p>
        </w:tc>
      </w:tr>
    </w:tbl>
    <w:p w14:paraId="29CB9835" w14:textId="77777777" w:rsidR="00BF399A" w:rsidRDefault="00BF399A" w:rsidP="00BF399A">
      <w:pPr>
        <w:spacing w:after="120"/>
      </w:pPr>
      <w:r w:rsidRPr="00BB791B">
        <w:rPr>
          <w:sz w:val="24"/>
          <w:szCs w:val="24"/>
        </w:rPr>
        <w:t>Note: The value of the linked data at the record level would depend on the quality of the linkage and the variables.</w:t>
      </w:r>
    </w:p>
    <w:p w14:paraId="029B032C" w14:textId="77777777" w:rsidR="00BF399A" w:rsidRPr="006D699F" w:rsidRDefault="00BF399A" w:rsidP="00BF399A">
      <w:pPr>
        <w:spacing w:after="120" w:line="240" w:lineRule="auto"/>
        <w:rPr>
          <w:sz w:val="24"/>
          <w:szCs w:val="24"/>
        </w:rPr>
      </w:pPr>
      <w:r w:rsidRPr="006D699F">
        <w:rPr>
          <w:sz w:val="24"/>
          <w:szCs w:val="24"/>
        </w:rPr>
        <w:t xml:space="preserve">We </w:t>
      </w:r>
      <w:r>
        <w:rPr>
          <w:sz w:val="24"/>
          <w:szCs w:val="24"/>
        </w:rPr>
        <w:t xml:space="preserve">also </w:t>
      </w:r>
      <w:r w:rsidRPr="006D699F">
        <w:rPr>
          <w:sz w:val="24"/>
          <w:szCs w:val="24"/>
        </w:rPr>
        <w:t xml:space="preserve">considered using administrative data as a direct indicator of a missed household (in a similar way </w:t>
      </w:r>
      <w:r>
        <w:rPr>
          <w:sz w:val="24"/>
          <w:szCs w:val="24"/>
        </w:rPr>
        <w:t xml:space="preserve">to </w:t>
      </w:r>
      <w:r w:rsidRPr="006D699F">
        <w:rPr>
          <w:sz w:val="24"/>
          <w:szCs w:val="24"/>
        </w:rPr>
        <w:t xml:space="preserve">the </w:t>
      </w:r>
      <w:r>
        <w:rPr>
          <w:sz w:val="24"/>
          <w:szCs w:val="24"/>
        </w:rPr>
        <w:t xml:space="preserve">way the </w:t>
      </w:r>
      <w:r w:rsidRPr="006D699F">
        <w:rPr>
          <w:sz w:val="24"/>
          <w:szCs w:val="24"/>
        </w:rPr>
        <w:t>dummy forms</w:t>
      </w:r>
      <w:r>
        <w:rPr>
          <w:sz w:val="24"/>
          <w:szCs w:val="24"/>
        </w:rPr>
        <w:t xml:space="preserve"> are used)</w:t>
      </w:r>
      <w:r w:rsidRPr="006D699F">
        <w:rPr>
          <w:sz w:val="24"/>
          <w:szCs w:val="24"/>
        </w:rPr>
        <w:t>. One option</w:t>
      </w:r>
      <w:r>
        <w:rPr>
          <w:sz w:val="24"/>
          <w:szCs w:val="24"/>
        </w:rPr>
        <w:t>,</w:t>
      </w:r>
      <w:r w:rsidRPr="006D699F">
        <w:rPr>
          <w:sz w:val="24"/>
          <w:szCs w:val="24"/>
        </w:rPr>
        <w:t xml:space="preserve"> for example</w:t>
      </w:r>
      <w:r>
        <w:rPr>
          <w:sz w:val="24"/>
          <w:szCs w:val="24"/>
        </w:rPr>
        <w:t>,</w:t>
      </w:r>
      <w:r w:rsidRPr="006D699F">
        <w:rPr>
          <w:sz w:val="24"/>
          <w:szCs w:val="24"/>
        </w:rPr>
        <w:t xml:space="preserve"> is to use administrative data to provide unit level information about households that have </w:t>
      </w:r>
      <w:r>
        <w:rPr>
          <w:sz w:val="24"/>
          <w:szCs w:val="24"/>
        </w:rPr>
        <w:t xml:space="preserve">potentially </w:t>
      </w:r>
      <w:r w:rsidRPr="006D699F">
        <w:rPr>
          <w:sz w:val="24"/>
          <w:szCs w:val="24"/>
        </w:rPr>
        <w:t>been missed. We considered treating VOA or ABPE records that didn’t link to census respondent records or dummy form records</w:t>
      </w:r>
      <w:r>
        <w:rPr>
          <w:sz w:val="24"/>
          <w:szCs w:val="24"/>
        </w:rPr>
        <w:t xml:space="preserve"> as an indicator for a missed household in a similar way to the dummy forms</w:t>
      </w:r>
      <w:r w:rsidRPr="006D699F">
        <w:rPr>
          <w:sz w:val="24"/>
          <w:szCs w:val="24"/>
        </w:rPr>
        <w:t>. The records could be compared to donors, so if it shows evidence of recent activity and enough information to say they are similar, then the postcode of the administrative data record could be used for the donor.</w:t>
      </w:r>
    </w:p>
    <w:p w14:paraId="0FD56144" w14:textId="77777777" w:rsidR="00BF399A" w:rsidRPr="006D699F" w:rsidRDefault="00BF399A" w:rsidP="00BF399A">
      <w:pPr>
        <w:pStyle w:val="ListParagraph"/>
        <w:spacing w:line="240" w:lineRule="auto"/>
        <w:ind w:left="0"/>
        <w:rPr>
          <w:sz w:val="24"/>
          <w:szCs w:val="24"/>
        </w:rPr>
      </w:pPr>
      <w:bookmarkStart w:id="6" w:name="_Hlk19190409"/>
      <w:r w:rsidRPr="006D699F">
        <w:rPr>
          <w:sz w:val="24"/>
          <w:szCs w:val="24"/>
        </w:rPr>
        <w:t>We decided against this approach however</w:t>
      </w:r>
      <w:r>
        <w:rPr>
          <w:sz w:val="24"/>
          <w:szCs w:val="24"/>
        </w:rPr>
        <w:t>,</w:t>
      </w:r>
      <w:r w:rsidRPr="006D699F">
        <w:rPr>
          <w:sz w:val="24"/>
          <w:szCs w:val="24"/>
        </w:rPr>
        <w:t xml:space="preserve"> because administrative </w:t>
      </w:r>
      <w:r>
        <w:rPr>
          <w:sz w:val="24"/>
          <w:szCs w:val="24"/>
        </w:rPr>
        <w:t xml:space="preserve">data </w:t>
      </w:r>
      <w:r w:rsidRPr="006D699F">
        <w:rPr>
          <w:sz w:val="24"/>
          <w:szCs w:val="24"/>
        </w:rPr>
        <w:t>will be used to improve and validate the address register</w:t>
      </w:r>
      <w:r>
        <w:rPr>
          <w:sz w:val="24"/>
          <w:szCs w:val="24"/>
        </w:rPr>
        <w:t>,</w:t>
      </w:r>
      <w:r w:rsidRPr="006D699F">
        <w:rPr>
          <w:sz w:val="24"/>
          <w:szCs w:val="24"/>
        </w:rPr>
        <w:t xml:space="preserve"> so we would expect a census response or dummy form</w:t>
      </w:r>
      <w:r>
        <w:rPr>
          <w:sz w:val="24"/>
          <w:szCs w:val="24"/>
        </w:rPr>
        <w:t xml:space="preserve"> for valid entries</w:t>
      </w:r>
      <w:r w:rsidRPr="006D699F">
        <w:rPr>
          <w:sz w:val="24"/>
          <w:szCs w:val="24"/>
        </w:rPr>
        <w:t xml:space="preserve">. Entries on the administrative data that cannot be linked to </w:t>
      </w:r>
      <w:r>
        <w:rPr>
          <w:sz w:val="24"/>
          <w:szCs w:val="24"/>
        </w:rPr>
        <w:t>c</w:t>
      </w:r>
      <w:r w:rsidRPr="006D699F">
        <w:rPr>
          <w:sz w:val="24"/>
          <w:szCs w:val="24"/>
        </w:rPr>
        <w:t>ensus data or dummy forms may be for properties that no longer exist, be duplicate addresses or the UPRN may have been incorrectly assigned in the VOA or census data.</w:t>
      </w:r>
      <w:r>
        <w:rPr>
          <w:sz w:val="24"/>
          <w:szCs w:val="24"/>
        </w:rPr>
        <w:t xml:space="preserve"> The benefit above using a random placement is therefore unclear.</w:t>
      </w:r>
      <w:r w:rsidRPr="006D699F">
        <w:rPr>
          <w:sz w:val="24"/>
          <w:szCs w:val="24"/>
        </w:rPr>
        <w:t xml:space="preserve"> </w:t>
      </w:r>
    </w:p>
    <w:bookmarkEnd w:id="6"/>
    <w:p w14:paraId="08011C9D" w14:textId="77777777" w:rsidR="00BF399A" w:rsidRDefault="00BF399A" w:rsidP="00BF399A">
      <w:pPr>
        <w:rPr>
          <w:b/>
          <w:sz w:val="24"/>
          <w:szCs w:val="24"/>
        </w:rPr>
      </w:pPr>
      <w:r>
        <w:rPr>
          <w:b/>
          <w:sz w:val="24"/>
          <w:szCs w:val="24"/>
        </w:rPr>
        <w:t>Summary and c</w:t>
      </w:r>
      <w:r w:rsidRPr="001930D7">
        <w:rPr>
          <w:b/>
          <w:sz w:val="24"/>
          <w:szCs w:val="24"/>
        </w:rPr>
        <w:t>onclusions</w:t>
      </w:r>
      <w:r>
        <w:rPr>
          <w:b/>
          <w:sz w:val="24"/>
          <w:szCs w:val="24"/>
        </w:rPr>
        <w:t xml:space="preserve"> </w:t>
      </w:r>
    </w:p>
    <w:p w14:paraId="2DB37247" w14:textId="77777777" w:rsidR="00BF399A" w:rsidRDefault="00BF399A" w:rsidP="00BF399A">
      <w:pPr>
        <w:spacing w:after="0" w:line="240" w:lineRule="auto"/>
        <w:rPr>
          <w:rFonts w:ascii="Calibri" w:eastAsia="Times New Roman" w:hAnsi="Calibri" w:cs="Times New Roman"/>
          <w:sz w:val="24"/>
          <w:szCs w:val="24"/>
          <w:lang w:val="en-GB" w:eastAsia="en-GB"/>
        </w:rPr>
      </w:pPr>
      <w:r w:rsidRPr="00BD61A4">
        <w:rPr>
          <w:rFonts w:ascii="Calibri" w:eastAsia="Times New Roman" w:hAnsi="Calibri" w:cs="Times New Roman"/>
          <w:bCs/>
          <w:sz w:val="24"/>
          <w:szCs w:val="24"/>
          <w:lang w:eastAsia="en-GB"/>
        </w:rPr>
        <w:t>Previous research (based on 5 EAs) has shown proof of concept that t</w:t>
      </w:r>
      <w:r w:rsidRPr="00BD61A4">
        <w:rPr>
          <w:rFonts w:ascii="Calibri" w:eastAsia="Times New Roman" w:hAnsi="Calibri" w:cs="Times New Roman"/>
          <w:sz w:val="24"/>
          <w:szCs w:val="24"/>
          <w:lang w:eastAsia="en-GB"/>
        </w:rPr>
        <w:t>he selected donors when using the CO method better meet the benchmarks than the 2011 method</w:t>
      </w:r>
      <w:r>
        <w:rPr>
          <w:rFonts w:ascii="Calibri" w:eastAsia="Times New Roman" w:hAnsi="Calibri" w:cs="Times New Roman"/>
          <w:sz w:val="24"/>
          <w:szCs w:val="24"/>
          <w:lang w:eastAsia="en-GB"/>
        </w:rPr>
        <w:t xml:space="preserve"> (</w:t>
      </w:r>
      <w:r w:rsidRPr="00E22937">
        <w:rPr>
          <w:sz w:val="24"/>
          <w:szCs w:val="24"/>
        </w:rPr>
        <w:t xml:space="preserve">Oguz and Abbott </w:t>
      </w:r>
      <w:r>
        <w:rPr>
          <w:sz w:val="24"/>
          <w:szCs w:val="24"/>
        </w:rPr>
        <w:t>, (</w:t>
      </w:r>
      <w:r w:rsidRPr="00E22937">
        <w:rPr>
          <w:sz w:val="24"/>
          <w:szCs w:val="24"/>
        </w:rPr>
        <w:t>2016</w:t>
      </w:r>
      <w:r>
        <w:rPr>
          <w:sz w:val="24"/>
          <w:szCs w:val="24"/>
        </w:rPr>
        <w:t>)</w:t>
      </w:r>
      <w:r w:rsidRPr="00E22937">
        <w:rPr>
          <w:sz w:val="24"/>
          <w:szCs w:val="24"/>
        </w:rPr>
        <w:t>)</w:t>
      </w:r>
      <w:r>
        <w:rPr>
          <w:rFonts w:ascii="Calibri" w:eastAsia="Times New Roman" w:hAnsi="Calibri" w:cs="Times New Roman"/>
          <w:sz w:val="24"/>
          <w:szCs w:val="24"/>
          <w:lang w:eastAsia="en-GB"/>
        </w:rPr>
        <w:t>,</w:t>
      </w:r>
      <w:r w:rsidRPr="00BD61A4">
        <w:rPr>
          <w:rFonts w:ascii="Calibri" w:eastAsia="Times New Roman" w:hAnsi="Calibri" w:cs="Times New Roman"/>
          <w:sz w:val="24"/>
          <w:szCs w:val="24"/>
          <w:lang w:eastAsia="en-GB"/>
        </w:rPr>
        <w:t xml:space="preserve"> and also that both household and person level benchmarks are successfully met using a two</w:t>
      </w:r>
      <w:r>
        <w:rPr>
          <w:rFonts w:ascii="Calibri" w:eastAsia="Times New Roman" w:hAnsi="Calibri" w:cs="Times New Roman"/>
          <w:sz w:val="24"/>
          <w:szCs w:val="24"/>
          <w:lang w:eastAsia="en-GB"/>
        </w:rPr>
        <w:t>-</w:t>
      </w:r>
      <w:r w:rsidRPr="00BD61A4">
        <w:rPr>
          <w:rFonts w:ascii="Calibri" w:eastAsia="Times New Roman" w:hAnsi="Calibri" w:cs="Times New Roman"/>
          <w:sz w:val="24"/>
          <w:szCs w:val="24"/>
          <w:lang w:eastAsia="en-GB"/>
        </w:rPr>
        <w:t>stage approach whereby only missed households are imputed without first imputing missed persons from counted households</w:t>
      </w:r>
      <w:r>
        <w:rPr>
          <w:rFonts w:ascii="Calibri" w:eastAsia="Times New Roman" w:hAnsi="Calibri" w:cs="Times New Roman"/>
          <w:sz w:val="24"/>
          <w:szCs w:val="24"/>
          <w:lang w:eastAsia="en-GB"/>
        </w:rPr>
        <w:t xml:space="preserve"> (</w:t>
      </w:r>
      <w:r w:rsidRPr="00611FFB">
        <w:rPr>
          <w:sz w:val="24"/>
          <w:szCs w:val="24"/>
        </w:rPr>
        <w:t>Whitworth et al</w:t>
      </w:r>
      <w:r>
        <w:rPr>
          <w:sz w:val="24"/>
          <w:szCs w:val="24"/>
        </w:rPr>
        <w:t>, (</w:t>
      </w:r>
      <w:r w:rsidRPr="00611FFB">
        <w:rPr>
          <w:sz w:val="24"/>
          <w:szCs w:val="24"/>
        </w:rPr>
        <w:t>2018</w:t>
      </w:r>
      <w:r>
        <w:rPr>
          <w:sz w:val="24"/>
          <w:szCs w:val="24"/>
        </w:rPr>
        <w:t>)</w:t>
      </w:r>
      <w:r w:rsidRPr="00611FFB">
        <w:rPr>
          <w:sz w:val="24"/>
          <w:szCs w:val="24"/>
        </w:rPr>
        <w:t>)</w:t>
      </w:r>
      <w:r w:rsidRPr="00BD61A4">
        <w:rPr>
          <w:rFonts w:ascii="Calibri" w:eastAsia="Times New Roman" w:hAnsi="Calibri" w:cs="Times New Roman"/>
          <w:sz w:val="24"/>
          <w:szCs w:val="24"/>
          <w:lang w:eastAsia="en-GB"/>
        </w:rPr>
        <w:t>.</w:t>
      </w:r>
      <w:r>
        <w:rPr>
          <w:rFonts w:ascii="Calibri" w:eastAsia="Times New Roman" w:hAnsi="Calibri" w:cs="Times New Roman"/>
          <w:sz w:val="24"/>
          <w:szCs w:val="24"/>
          <w:lang w:eastAsia="en-GB"/>
        </w:rPr>
        <w:t xml:space="preserve">  This paper has shown </w:t>
      </w:r>
      <w:r w:rsidRPr="00F668E9">
        <w:rPr>
          <w:rFonts w:ascii="Calibri" w:eastAsia="Times New Roman" w:hAnsi="Calibri" w:cs="Times New Roman"/>
          <w:sz w:val="24"/>
          <w:szCs w:val="24"/>
          <w:lang w:val="en-GB" w:eastAsia="en-GB"/>
        </w:rPr>
        <w:t xml:space="preserve">more detailed evidence on </w:t>
      </w:r>
      <w:r>
        <w:rPr>
          <w:rFonts w:ascii="Calibri" w:eastAsia="Times New Roman" w:hAnsi="Calibri" w:cs="Times New Roman"/>
          <w:sz w:val="24"/>
          <w:szCs w:val="24"/>
          <w:lang w:val="en-GB" w:eastAsia="en-GB"/>
        </w:rPr>
        <w:t>the properties of the CO outputs and implementation of the</w:t>
      </w:r>
      <w:r w:rsidRPr="00F668E9">
        <w:rPr>
          <w:rFonts w:ascii="Calibri" w:eastAsia="Times New Roman" w:hAnsi="Calibri" w:cs="Times New Roman"/>
          <w:sz w:val="24"/>
          <w:szCs w:val="24"/>
          <w:lang w:val="en-GB" w:eastAsia="en-GB"/>
        </w:rPr>
        <w:t xml:space="preserve"> </w:t>
      </w:r>
      <w:r>
        <w:rPr>
          <w:rFonts w:ascii="Calibri" w:eastAsia="Times New Roman" w:hAnsi="Calibri" w:cs="Times New Roman"/>
          <w:sz w:val="24"/>
          <w:szCs w:val="24"/>
          <w:lang w:val="en-GB" w:eastAsia="en-GB"/>
        </w:rPr>
        <w:t>two-stage approach.</w:t>
      </w:r>
    </w:p>
    <w:p w14:paraId="5833CCF5" w14:textId="77777777" w:rsidR="00BF399A" w:rsidRPr="00085E1F" w:rsidRDefault="00BF399A" w:rsidP="00BF399A">
      <w:pPr>
        <w:spacing w:after="0" w:line="240" w:lineRule="auto"/>
        <w:rPr>
          <w:rFonts w:ascii="Calibri" w:eastAsia="Times New Roman" w:hAnsi="Calibri" w:cs="Times New Roman"/>
          <w:sz w:val="24"/>
          <w:szCs w:val="24"/>
          <w:lang w:eastAsia="en-GB"/>
        </w:rPr>
      </w:pPr>
    </w:p>
    <w:p w14:paraId="564AB190" w14:textId="77777777" w:rsidR="00BF399A" w:rsidRPr="00BD61A4" w:rsidRDefault="00BF399A" w:rsidP="00BF399A">
      <w:pPr>
        <w:spacing w:line="240" w:lineRule="auto"/>
        <w:rPr>
          <w:sz w:val="24"/>
          <w:szCs w:val="24"/>
        </w:rPr>
      </w:pPr>
      <w:r w:rsidRPr="00BD61A4">
        <w:rPr>
          <w:rFonts w:ascii="Calibri" w:eastAsia="Times New Roman" w:hAnsi="Calibri" w:cs="Times New Roman"/>
          <w:sz w:val="24"/>
          <w:szCs w:val="24"/>
          <w:lang w:eastAsia="en-GB"/>
        </w:rPr>
        <w:t>Sec</w:t>
      </w:r>
      <w:r>
        <w:rPr>
          <w:rFonts w:ascii="Calibri" w:eastAsia="Times New Roman" w:hAnsi="Calibri" w:cs="Times New Roman"/>
          <w:sz w:val="24"/>
          <w:szCs w:val="24"/>
          <w:lang w:eastAsia="en-GB"/>
        </w:rPr>
        <w:t>t</w:t>
      </w:r>
      <w:r w:rsidRPr="00BD61A4">
        <w:rPr>
          <w:rFonts w:ascii="Calibri" w:eastAsia="Times New Roman" w:hAnsi="Calibri" w:cs="Times New Roman"/>
          <w:sz w:val="24"/>
          <w:szCs w:val="24"/>
          <w:lang w:eastAsia="en-GB"/>
        </w:rPr>
        <w:t>ion 1 discussed the performance of the CO methods when using benchmarks for more detailed categorisation of variables at EA</w:t>
      </w:r>
      <w:r>
        <w:rPr>
          <w:rFonts w:ascii="Calibri" w:eastAsia="Times New Roman" w:hAnsi="Calibri" w:cs="Times New Roman"/>
          <w:sz w:val="24"/>
          <w:szCs w:val="24"/>
          <w:lang w:eastAsia="en-GB"/>
        </w:rPr>
        <w:t xml:space="preserve"> level</w:t>
      </w:r>
      <w:r w:rsidRPr="00BD61A4">
        <w:rPr>
          <w:rFonts w:ascii="Calibri" w:eastAsia="Times New Roman" w:hAnsi="Calibri" w:cs="Times New Roman"/>
          <w:sz w:val="24"/>
          <w:szCs w:val="24"/>
          <w:lang w:eastAsia="en-GB"/>
        </w:rPr>
        <w:t xml:space="preserve">. </w:t>
      </w:r>
      <w:r w:rsidRPr="00BD61A4">
        <w:rPr>
          <w:sz w:val="24"/>
          <w:szCs w:val="24"/>
        </w:rPr>
        <w:t xml:space="preserve">For </w:t>
      </w:r>
      <w:r>
        <w:rPr>
          <w:sz w:val="24"/>
          <w:szCs w:val="24"/>
        </w:rPr>
        <w:t xml:space="preserve">most </w:t>
      </w:r>
      <w:r w:rsidRPr="00BD61A4">
        <w:rPr>
          <w:sz w:val="24"/>
          <w:szCs w:val="24"/>
        </w:rPr>
        <w:t xml:space="preserve">variables (ethnic group, household </w:t>
      </w:r>
      <w:r w:rsidRPr="00BD61A4">
        <w:rPr>
          <w:sz w:val="24"/>
          <w:szCs w:val="24"/>
        </w:rPr>
        <w:lastRenderedPageBreak/>
        <w:t>tenure and hard to count variables)</w:t>
      </w:r>
      <w:r>
        <w:rPr>
          <w:sz w:val="24"/>
          <w:szCs w:val="24"/>
        </w:rPr>
        <w:t xml:space="preserve"> a </w:t>
      </w:r>
      <w:r w:rsidRPr="00BD61A4">
        <w:rPr>
          <w:sz w:val="24"/>
          <w:szCs w:val="24"/>
        </w:rPr>
        <w:t xml:space="preserve">good fit </w:t>
      </w:r>
      <w:r>
        <w:rPr>
          <w:sz w:val="24"/>
          <w:szCs w:val="24"/>
        </w:rPr>
        <w:t xml:space="preserve">was </w:t>
      </w:r>
      <w:r w:rsidRPr="00BD61A4">
        <w:rPr>
          <w:sz w:val="24"/>
          <w:szCs w:val="24"/>
        </w:rPr>
        <w:t xml:space="preserve">achieved with more detailed categories. For the household size variable and activity last week variable </w:t>
      </w:r>
      <w:r>
        <w:rPr>
          <w:sz w:val="24"/>
          <w:szCs w:val="24"/>
        </w:rPr>
        <w:t xml:space="preserve">though, </w:t>
      </w:r>
      <w:r w:rsidRPr="00BD61A4">
        <w:rPr>
          <w:sz w:val="24"/>
          <w:szCs w:val="24"/>
        </w:rPr>
        <w:t xml:space="preserve">there was greater error when more detailed categories were used. </w:t>
      </w:r>
      <w:r>
        <w:rPr>
          <w:sz w:val="24"/>
          <w:szCs w:val="24"/>
        </w:rPr>
        <w:t>The best categorisation detail will be specific to each variable:</w:t>
      </w:r>
      <w:r w:rsidRPr="00BD61A4">
        <w:rPr>
          <w:sz w:val="24"/>
          <w:szCs w:val="24"/>
        </w:rPr>
        <w:t xml:space="preserve"> </w:t>
      </w:r>
      <w:r>
        <w:rPr>
          <w:sz w:val="24"/>
          <w:szCs w:val="24"/>
        </w:rPr>
        <w:t>research has shown that f</w:t>
      </w:r>
      <w:r w:rsidRPr="00BD61A4">
        <w:rPr>
          <w:sz w:val="24"/>
          <w:szCs w:val="24"/>
        </w:rPr>
        <w:t>or the household size variable benchmarking to a more detailed categories is preferable (</w:t>
      </w:r>
      <w:r>
        <w:rPr>
          <w:sz w:val="24"/>
          <w:szCs w:val="24"/>
        </w:rPr>
        <w:t>S</w:t>
      </w:r>
      <w:r w:rsidRPr="00BD61A4">
        <w:rPr>
          <w:sz w:val="24"/>
          <w:szCs w:val="24"/>
        </w:rPr>
        <w:t>ection 2)</w:t>
      </w:r>
      <w:r>
        <w:rPr>
          <w:sz w:val="24"/>
          <w:szCs w:val="24"/>
        </w:rPr>
        <w:t xml:space="preserve"> whilst for t</w:t>
      </w:r>
      <w:r w:rsidRPr="00BD61A4">
        <w:rPr>
          <w:sz w:val="24"/>
          <w:szCs w:val="24"/>
        </w:rPr>
        <w:t xml:space="preserve">he </w:t>
      </w:r>
      <w:r>
        <w:rPr>
          <w:sz w:val="24"/>
          <w:szCs w:val="24"/>
        </w:rPr>
        <w:t>a</w:t>
      </w:r>
      <w:r w:rsidRPr="00BD61A4">
        <w:rPr>
          <w:sz w:val="24"/>
          <w:szCs w:val="24"/>
        </w:rPr>
        <w:t xml:space="preserve">ctivity last week variable, it is preferable to use the collapsed categories in order to avoid greater error in the age-sex by local authority variable which is the key output.  </w:t>
      </w:r>
    </w:p>
    <w:p w14:paraId="0A8AC3FF" w14:textId="77777777" w:rsidR="00BF399A" w:rsidRPr="00BD61A4" w:rsidRDefault="00BF399A" w:rsidP="00BF399A">
      <w:pPr>
        <w:spacing w:line="240" w:lineRule="auto"/>
        <w:rPr>
          <w:rFonts w:ascii="Calibri" w:eastAsia="Times New Roman" w:hAnsi="Calibri" w:cs="Times New Roman"/>
          <w:sz w:val="24"/>
          <w:szCs w:val="24"/>
          <w:lang w:eastAsia="en-GB"/>
        </w:rPr>
      </w:pPr>
      <w:r w:rsidRPr="00BD61A4">
        <w:rPr>
          <w:rFonts w:ascii="Calibri" w:eastAsia="Times New Roman" w:hAnsi="Calibri" w:cs="Times New Roman"/>
          <w:sz w:val="24"/>
          <w:szCs w:val="24"/>
          <w:lang w:eastAsia="en-GB"/>
        </w:rPr>
        <w:t xml:space="preserve">Further work will test the performance of the CO method </w:t>
      </w:r>
      <w:r>
        <w:rPr>
          <w:rFonts w:ascii="Calibri" w:eastAsia="Times New Roman" w:hAnsi="Calibri" w:cs="Times New Roman"/>
          <w:sz w:val="24"/>
          <w:szCs w:val="24"/>
          <w:lang w:eastAsia="en-GB"/>
        </w:rPr>
        <w:t>when</w:t>
      </w:r>
      <w:r w:rsidRPr="00BD61A4">
        <w:rPr>
          <w:rFonts w:ascii="Calibri" w:eastAsia="Times New Roman" w:hAnsi="Calibri" w:cs="Times New Roman"/>
          <w:sz w:val="24"/>
          <w:szCs w:val="24"/>
          <w:lang w:eastAsia="en-GB"/>
        </w:rPr>
        <w:t xml:space="preserve"> additional variables (e</w:t>
      </w:r>
      <w:r>
        <w:rPr>
          <w:rFonts w:ascii="Calibri" w:eastAsia="Times New Roman" w:hAnsi="Calibri" w:cs="Times New Roman"/>
          <w:sz w:val="24"/>
          <w:szCs w:val="24"/>
          <w:lang w:eastAsia="en-GB"/>
        </w:rPr>
        <w:t>.</w:t>
      </w:r>
      <w:r w:rsidRPr="00BD61A4">
        <w:rPr>
          <w:rFonts w:ascii="Calibri" w:eastAsia="Times New Roman" w:hAnsi="Calibri" w:cs="Times New Roman"/>
          <w:sz w:val="24"/>
          <w:szCs w:val="24"/>
          <w:lang w:eastAsia="en-GB"/>
        </w:rPr>
        <w:t>g</w:t>
      </w:r>
      <w:r>
        <w:rPr>
          <w:rFonts w:ascii="Calibri" w:eastAsia="Times New Roman" w:hAnsi="Calibri" w:cs="Times New Roman"/>
          <w:sz w:val="24"/>
          <w:szCs w:val="24"/>
          <w:lang w:eastAsia="en-GB"/>
        </w:rPr>
        <w:t>.</w:t>
      </w:r>
      <w:r w:rsidRPr="00BD61A4">
        <w:rPr>
          <w:rFonts w:ascii="Calibri" w:eastAsia="Times New Roman" w:hAnsi="Calibri" w:cs="Times New Roman"/>
          <w:sz w:val="24"/>
          <w:szCs w:val="24"/>
          <w:lang w:eastAsia="en-GB"/>
        </w:rPr>
        <w:t xml:space="preserve"> marital status) are included in the benchmarks. </w:t>
      </w:r>
      <w:r>
        <w:rPr>
          <w:rFonts w:ascii="Calibri" w:eastAsia="Times New Roman" w:hAnsi="Calibri" w:cs="Times New Roman"/>
          <w:sz w:val="24"/>
          <w:szCs w:val="24"/>
          <w:lang w:eastAsia="en-GB"/>
        </w:rPr>
        <w:t xml:space="preserve">The advantage of </w:t>
      </w:r>
      <w:r w:rsidRPr="00BD61A4">
        <w:rPr>
          <w:rFonts w:ascii="Calibri" w:eastAsia="Times New Roman" w:hAnsi="Calibri" w:cs="Times New Roman"/>
          <w:sz w:val="24"/>
          <w:szCs w:val="24"/>
          <w:lang w:eastAsia="en-GB"/>
        </w:rPr>
        <w:t xml:space="preserve">using more detailed benchmarks with the CO methods </w:t>
      </w:r>
      <w:r>
        <w:rPr>
          <w:rFonts w:ascii="Calibri" w:eastAsia="Times New Roman" w:hAnsi="Calibri" w:cs="Times New Roman"/>
          <w:sz w:val="24"/>
          <w:szCs w:val="24"/>
          <w:lang w:eastAsia="en-GB"/>
        </w:rPr>
        <w:t>is to</w:t>
      </w:r>
      <w:r w:rsidRPr="00BD61A4">
        <w:rPr>
          <w:rFonts w:ascii="Calibri" w:eastAsia="Times New Roman" w:hAnsi="Calibri" w:cs="Times New Roman"/>
          <w:sz w:val="24"/>
          <w:szCs w:val="24"/>
          <w:lang w:eastAsia="en-GB"/>
        </w:rPr>
        <w:t xml:space="preserve"> ensure more robust outputs for use in allocating donors to postcodes and for imputing the other census variables in stage 2</w:t>
      </w:r>
      <w:r>
        <w:rPr>
          <w:rFonts w:ascii="Calibri" w:eastAsia="Times New Roman" w:hAnsi="Calibri" w:cs="Times New Roman"/>
          <w:sz w:val="24"/>
          <w:szCs w:val="24"/>
          <w:lang w:eastAsia="en-GB"/>
        </w:rPr>
        <w:t>,</w:t>
      </w:r>
      <w:r w:rsidRPr="00BD61A4">
        <w:rPr>
          <w:rFonts w:ascii="Calibri" w:eastAsia="Times New Roman" w:hAnsi="Calibri" w:cs="Times New Roman"/>
          <w:sz w:val="24"/>
          <w:szCs w:val="24"/>
          <w:lang w:eastAsia="en-GB"/>
        </w:rPr>
        <w:t xml:space="preserve"> and </w:t>
      </w:r>
      <w:r>
        <w:rPr>
          <w:rFonts w:ascii="Calibri" w:eastAsia="Times New Roman" w:hAnsi="Calibri" w:cs="Times New Roman"/>
          <w:sz w:val="24"/>
          <w:szCs w:val="24"/>
          <w:lang w:eastAsia="en-GB"/>
        </w:rPr>
        <w:t xml:space="preserve">ultimately </w:t>
      </w:r>
      <w:r w:rsidRPr="00BD61A4">
        <w:rPr>
          <w:rFonts w:ascii="Calibri" w:eastAsia="Times New Roman" w:hAnsi="Calibri" w:cs="Times New Roman"/>
          <w:sz w:val="24"/>
          <w:szCs w:val="24"/>
          <w:lang w:eastAsia="en-GB"/>
        </w:rPr>
        <w:t>more robust outputs at small area level.</w:t>
      </w:r>
    </w:p>
    <w:p w14:paraId="088DC995" w14:textId="77777777" w:rsidR="00BF399A" w:rsidRPr="00E74D11" w:rsidRDefault="00BF399A" w:rsidP="00BF399A">
      <w:pPr>
        <w:spacing w:after="0" w:line="240" w:lineRule="auto"/>
        <w:rPr>
          <w:rFonts w:ascii="Calibri" w:eastAsia="Times New Roman" w:hAnsi="Calibri" w:cs="Times New Roman"/>
          <w:color w:val="BFBFBF" w:themeColor="background1" w:themeShade="BF"/>
          <w:sz w:val="24"/>
          <w:szCs w:val="24"/>
          <w:lang w:eastAsia="en-GB"/>
        </w:rPr>
      </w:pPr>
      <w:r w:rsidRPr="00222A48">
        <w:rPr>
          <w:rFonts w:ascii="Calibri" w:eastAsia="Times New Roman" w:hAnsi="Calibri" w:cs="Times New Roman"/>
          <w:sz w:val="24"/>
          <w:szCs w:val="24"/>
          <w:lang w:eastAsia="en-GB"/>
        </w:rPr>
        <w:t>Overall the CO outputs demonstrated relatively low bias</w:t>
      </w:r>
      <w:r>
        <w:rPr>
          <w:rFonts w:ascii="Calibri" w:eastAsia="Times New Roman" w:hAnsi="Calibri" w:cs="Times New Roman"/>
          <w:sz w:val="24"/>
          <w:szCs w:val="24"/>
          <w:lang w:eastAsia="en-GB"/>
        </w:rPr>
        <w:t xml:space="preserve"> for most variables</w:t>
      </w:r>
      <w:r w:rsidRPr="00222A48">
        <w:rPr>
          <w:rFonts w:ascii="Calibri" w:eastAsia="Times New Roman" w:hAnsi="Calibri" w:cs="Times New Roman"/>
          <w:sz w:val="24"/>
          <w:szCs w:val="24"/>
          <w:lang w:eastAsia="en-GB"/>
        </w:rPr>
        <w:t xml:space="preserve"> and </w:t>
      </w:r>
      <w:r>
        <w:rPr>
          <w:rFonts w:ascii="Calibri" w:eastAsia="Times New Roman" w:hAnsi="Calibri" w:cs="Times New Roman"/>
          <w:sz w:val="24"/>
          <w:szCs w:val="24"/>
          <w:lang w:eastAsia="en-GB"/>
        </w:rPr>
        <w:t xml:space="preserve">very low </w:t>
      </w:r>
      <w:r w:rsidRPr="00222A48">
        <w:rPr>
          <w:rFonts w:ascii="Calibri" w:eastAsia="Times New Roman" w:hAnsi="Calibri" w:cs="Times New Roman"/>
          <w:sz w:val="24"/>
          <w:szCs w:val="24"/>
          <w:lang w:eastAsia="en-GB"/>
        </w:rPr>
        <w:t xml:space="preserve">variance </w:t>
      </w:r>
      <w:r>
        <w:rPr>
          <w:rFonts w:ascii="Calibri" w:eastAsia="Times New Roman" w:hAnsi="Calibri" w:cs="Times New Roman"/>
          <w:sz w:val="24"/>
          <w:szCs w:val="24"/>
          <w:lang w:eastAsia="en-GB"/>
        </w:rPr>
        <w:t>in (</w:t>
      </w:r>
      <w:r w:rsidRPr="00222A48">
        <w:rPr>
          <w:rFonts w:ascii="Calibri" w:eastAsia="Times New Roman" w:hAnsi="Calibri" w:cs="Times New Roman"/>
          <w:sz w:val="24"/>
          <w:szCs w:val="24"/>
          <w:lang w:eastAsia="en-GB"/>
        </w:rPr>
        <w:t>Section 2</w:t>
      </w:r>
      <w:r>
        <w:rPr>
          <w:rFonts w:ascii="Calibri" w:eastAsia="Times New Roman" w:hAnsi="Calibri" w:cs="Times New Roman"/>
          <w:sz w:val="24"/>
          <w:szCs w:val="24"/>
          <w:lang w:eastAsia="en-GB"/>
        </w:rPr>
        <w:t xml:space="preserve">). </w:t>
      </w:r>
      <w:r w:rsidRPr="00222A48">
        <w:rPr>
          <w:rFonts w:ascii="Calibri" w:eastAsia="Times New Roman" w:hAnsi="Calibri" w:cs="Times New Roman"/>
          <w:sz w:val="24"/>
          <w:szCs w:val="24"/>
          <w:lang w:eastAsia="en-GB"/>
        </w:rPr>
        <w:t xml:space="preserve">Section 3 showed that in a different scenario whereby the number of people missed from counted households was higher than in the 2011 </w:t>
      </w:r>
      <w:r>
        <w:rPr>
          <w:rFonts w:ascii="Calibri" w:eastAsia="Times New Roman" w:hAnsi="Calibri" w:cs="Times New Roman"/>
          <w:sz w:val="24"/>
          <w:szCs w:val="24"/>
          <w:lang w:eastAsia="en-GB"/>
        </w:rPr>
        <w:t>C</w:t>
      </w:r>
      <w:r w:rsidRPr="00222A48">
        <w:rPr>
          <w:rFonts w:ascii="Calibri" w:eastAsia="Times New Roman" w:hAnsi="Calibri" w:cs="Times New Roman"/>
          <w:sz w:val="24"/>
          <w:szCs w:val="24"/>
          <w:lang w:eastAsia="en-GB"/>
        </w:rPr>
        <w:t>ensus (but the number of missed households remained unchanged)</w:t>
      </w:r>
      <w:r>
        <w:rPr>
          <w:rFonts w:ascii="Calibri" w:eastAsia="Times New Roman" w:hAnsi="Calibri" w:cs="Times New Roman"/>
          <w:sz w:val="24"/>
          <w:szCs w:val="24"/>
          <w:lang w:eastAsia="en-GB"/>
        </w:rPr>
        <w:t>, m</w:t>
      </w:r>
      <w:r w:rsidRPr="00222A48">
        <w:rPr>
          <w:rFonts w:ascii="Calibri" w:eastAsia="Times New Roman" w:hAnsi="Calibri" w:cs="Times New Roman"/>
          <w:sz w:val="24"/>
          <w:szCs w:val="24"/>
          <w:lang w:eastAsia="en-GB"/>
        </w:rPr>
        <w:t>easures o</w:t>
      </w:r>
      <w:r>
        <w:rPr>
          <w:rFonts w:ascii="Calibri" w:eastAsia="Times New Roman" w:hAnsi="Calibri" w:cs="Times New Roman"/>
          <w:sz w:val="24"/>
          <w:szCs w:val="24"/>
          <w:lang w:eastAsia="en-GB"/>
        </w:rPr>
        <w:t>f</w:t>
      </w:r>
      <w:r w:rsidRPr="00222A48">
        <w:rPr>
          <w:rFonts w:ascii="Calibri" w:eastAsia="Times New Roman" w:hAnsi="Calibri" w:cs="Times New Roman"/>
          <w:sz w:val="24"/>
          <w:szCs w:val="24"/>
          <w:lang w:eastAsia="en-GB"/>
        </w:rPr>
        <w:t xml:space="preserve"> the bias and variance for some of the EAs tested (East Midlands EA The South West and Outer London EAs) remain</w:t>
      </w:r>
      <w:r>
        <w:rPr>
          <w:rFonts w:ascii="Calibri" w:eastAsia="Times New Roman" w:hAnsi="Calibri" w:cs="Times New Roman"/>
          <w:sz w:val="24"/>
          <w:szCs w:val="24"/>
          <w:lang w:eastAsia="en-GB"/>
        </w:rPr>
        <w:t>ed</w:t>
      </w:r>
      <w:r w:rsidRPr="00222A48">
        <w:rPr>
          <w:rFonts w:ascii="Calibri" w:eastAsia="Times New Roman" w:hAnsi="Calibri" w:cs="Times New Roman"/>
          <w:sz w:val="24"/>
          <w:szCs w:val="24"/>
          <w:lang w:eastAsia="en-GB"/>
        </w:rPr>
        <w:t xml:space="preserve"> low across most categories or gave very similar errors. </w:t>
      </w:r>
      <w:r>
        <w:rPr>
          <w:rFonts w:ascii="Calibri" w:eastAsia="Times New Roman" w:hAnsi="Calibri" w:cs="Times New Roman"/>
          <w:sz w:val="24"/>
          <w:szCs w:val="24"/>
          <w:lang w:eastAsia="en-GB"/>
        </w:rPr>
        <w:t>T</w:t>
      </w:r>
      <w:r w:rsidRPr="00222A48">
        <w:rPr>
          <w:rFonts w:ascii="Calibri" w:eastAsia="Times New Roman" w:hAnsi="Calibri" w:cs="Times New Roman"/>
          <w:sz w:val="24"/>
          <w:szCs w:val="24"/>
          <w:lang w:eastAsia="en-GB"/>
        </w:rPr>
        <w:t xml:space="preserve">he East Midlands EA </w:t>
      </w:r>
      <w:r>
        <w:rPr>
          <w:rFonts w:ascii="Calibri" w:eastAsia="Times New Roman" w:hAnsi="Calibri" w:cs="Times New Roman"/>
          <w:sz w:val="24"/>
          <w:szCs w:val="24"/>
          <w:lang w:eastAsia="en-GB"/>
        </w:rPr>
        <w:t xml:space="preserve">showed considerably </w:t>
      </w:r>
      <w:r w:rsidRPr="00222A48">
        <w:rPr>
          <w:rFonts w:ascii="Calibri" w:eastAsia="Times New Roman" w:hAnsi="Calibri" w:cs="Times New Roman"/>
          <w:sz w:val="24"/>
          <w:szCs w:val="24"/>
          <w:lang w:eastAsia="en-GB"/>
        </w:rPr>
        <w:t xml:space="preserve">larger error </w:t>
      </w:r>
      <w:r>
        <w:rPr>
          <w:rFonts w:ascii="Calibri" w:eastAsia="Times New Roman" w:hAnsi="Calibri" w:cs="Times New Roman"/>
          <w:sz w:val="24"/>
          <w:szCs w:val="24"/>
          <w:lang w:eastAsia="en-GB"/>
        </w:rPr>
        <w:t xml:space="preserve">under this scenario </w:t>
      </w:r>
      <w:r w:rsidRPr="00222A48">
        <w:rPr>
          <w:rFonts w:ascii="Calibri" w:eastAsia="Times New Roman" w:hAnsi="Calibri" w:cs="Times New Roman"/>
          <w:sz w:val="24"/>
          <w:szCs w:val="24"/>
          <w:lang w:eastAsia="en-GB"/>
        </w:rPr>
        <w:t>for the age-sex by LA variable,</w:t>
      </w:r>
      <w:r>
        <w:rPr>
          <w:rFonts w:ascii="Calibri" w:eastAsia="Times New Roman" w:hAnsi="Calibri" w:cs="Times New Roman"/>
          <w:sz w:val="24"/>
          <w:szCs w:val="24"/>
          <w:lang w:eastAsia="en-GB"/>
        </w:rPr>
        <w:t xml:space="preserve"> but it was still not very much larger than the magnitude of error evident in 2011 (with 2011 coverage patterns). </w:t>
      </w:r>
    </w:p>
    <w:p w14:paraId="427B1898" w14:textId="77777777" w:rsidR="00BF399A" w:rsidRDefault="00BF399A" w:rsidP="00BF399A">
      <w:pPr>
        <w:spacing w:after="0" w:line="240" w:lineRule="auto"/>
        <w:rPr>
          <w:rFonts w:ascii="Calibri" w:eastAsia="Times New Roman" w:hAnsi="Calibri" w:cs="Times New Roman"/>
          <w:sz w:val="24"/>
          <w:szCs w:val="24"/>
          <w:lang w:eastAsia="en-GB"/>
        </w:rPr>
      </w:pPr>
    </w:p>
    <w:p w14:paraId="076B534B" w14:textId="77777777" w:rsidR="00BF399A" w:rsidRPr="00222A48" w:rsidRDefault="00BF399A" w:rsidP="00BF399A">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Section 3 also showed that in this alternative coverage scenario f</w:t>
      </w:r>
      <w:r w:rsidRPr="00222A48">
        <w:rPr>
          <w:rFonts w:ascii="Calibri" w:eastAsia="Times New Roman" w:hAnsi="Calibri" w:cs="Times New Roman"/>
          <w:sz w:val="24"/>
          <w:szCs w:val="24"/>
          <w:lang w:eastAsia="en-GB"/>
        </w:rPr>
        <w:t>or some LAs</w:t>
      </w:r>
      <w:r>
        <w:rPr>
          <w:rFonts w:ascii="Calibri" w:eastAsia="Times New Roman" w:hAnsi="Calibri" w:cs="Times New Roman"/>
          <w:sz w:val="24"/>
          <w:szCs w:val="24"/>
          <w:lang w:eastAsia="en-GB"/>
        </w:rPr>
        <w:t xml:space="preserve"> </w:t>
      </w:r>
      <w:r w:rsidRPr="00222A48">
        <w:rPr>
          <w:rFonts w:ascii="Calibri" w:eastAsia="Times New Roman" w:hAnsi="Calibri" w:cs="Times New Roman"/>
          <w:sz w:val="24"/>
          <w:szCs w:val="24"/>
          <w:lang w:eastAsia="en-GB"/>
        </w:rPr>
        <w:t xml:space="preserve">there were more small households than </w:t>
      </w:r>
      <w:r>
        <w:rPr>
          <w:rFonts w:ascii="Calibri" w:eastAsia="Times New Roman" w:hAnsi="Calibri" w:cs="Times New Roman"/>
          <w:sz w:val="24"/>
          <w:szCs w:val="24"/>
          <w:lang w:eastAsia="en-GB"/>
        </w:rPr>
        <w:t xml:space="preserve">evident in </w:t>
      </w:r>
      <w:r w:rsidRPr="00222A48">
        <w:rPr>
          <w:rFonts w:ascii="Calibri" w:eastAsia="Times New Roman" w:hAnsi="Calibri" w:cs="Times New Roman"/>
          <w:sz w:val="24"/>
          <w:szCs w:val="24"/>
          <w:lang w:eastAsia="en-GB"/>
        </w:rPr>
        <w:t xml:space="preserve">the estimated </w:t>
      </w:r>
      <w:r>
        <w:rPr>
          <w:rFonts w:ascii="Calibri" w:eastAsia="Times New Roman" w:hAnsi="Calibri" w:cs="Times New Roman"/>
          <w:sz w:val="24"/>
          <w:szCs w:val="24"/>
          <w:lang w:eastAsia="en-GB"/>
        </w:rPr>
        <w:t xml:space="preserve">coverage </w:t>
      </w:r>
      <w:r w:rsidRPr="00222A48">
        <w:rPr>
          <w:rFonts w:ascii="Calibri" w:eastAsia="Times New Roman" w:hAnsi="Calibri" w:cs="Times New Roman"/>
          <w:sz w:val="24"/>
          <w:szCs w:val="24"/>
          <w:lang w:eastAsia="en-GB"/>
        </w:rPr>
        <w:t xml:space="preserve">benchmarks.  </w:t>
      </w:r>
      <w:r>
        <w:rPr>
          <w:rFonts w:ascii="Calibri" w:eastAsia="Times New Roman" w:hAnsi="Calibri" w:cs="Times New Roman"/>
          <w:sz w:val="24"/>
          <w:szCs w:val="24"/>
          <w:lang w:eastAsia="en-GB"/>
        </w:rPr>
        <w:t>The adjustment strategy deals only with net under coverage so a</w:t>
      </w:r>
      <w:r w:rsidRPr="00222A48">
        <w:rPr>
          <w:rFonts w:ascii="Calibri" w:eastAsia="Times New Roman" w:hAnsi="Calibri" w:cs="Times New Roman"/>
          <w:sz w:val="24"/>
          <w:szCs w:val="24"/>
          <w:lang w:eastAsia="en-GB"/>
        </w:rPr>
        <w:t xml:space="preserve"> contingency strategy will need to be developed for </w:t>
      </w:r>
      <w:r>
        <w:rPr>
          <w:rFonts w:ascii="Calibri" w:eastAsia="Times New Roman" w:hAnsi="Calibri" w:cs="Times New Roman"/>
          <w:sz w:val="24"/>
          <w:szCs w:val="24"/>
          <w:lang w:eastAsia="en-GB"/>
        </w:rPr>
        <w:t>the 2021 Census</w:t>
      </w:r>
      <w:r w:rsidRPr="00222A48">
        <w:rPr>
          <w:rFonts w:ascii="Calibri" w:eastAsia="Times New Roman" w:hAnsi="Calibri" w:cs="Times New Roman"/>
          <w:sz w:val="24"/>
          <w:szCs w:val="24"/>
          <w:lang w:eastAsia="en-GB"/>
        </w:rPr>
        <w:t xml:space="preserve">.  In our future work we plan to extend this initial analysis </w:t>
      </w:r>
      <w:r>
        <w:rPr>
          <w:rFonts w:ascii="Calibri" w:eastAsia="Times New Roman" w:hAnsi="Calibri" w:cs="Times New Roman"/>
          <w:sz w:val="24"/>
          <w:szCs w:val="24"/>
          <w:lang w:eastAsia="en-GB"/>
        </w:rPr>
        <w:t xml:space="preserve">to other areas and </w:t>
      </w:r>
      <w:r w:rsidRPr="00222A48">
        <w:rPr>
          <w:rFonts w:ascii="Calibri" w:eastAsia="Times New Roman" w:hAnsi="Calibri" w:cs="Times New Roman"/>
          <w:sz w:val="24"/>
          <w:szCs w:val="24"/>
          <w:lang w:eastAsia="en-GB"/>
        </w:rPr>
        <w:t>by removing different selections of persons in simulations.</w:t>
      </w:r>
      <w:r>
        <w:rPr>
          <w:rFonts w:ascii="Calibri" w:eastAsia="Times New Roman" w:hAnsi="Calibri" w:cs="Times New Roman"/>
          <w:sz w:val="24"/>
          <w:szCs w:val="24"/>
          <w:lang w:eastAsia="en-GB"/>
        </w:rPr>
        <w:t xml:space="preserve"> We will also test the methods in scenarios whereby there are increased numbers of missed households.</w:t>
      </w:r>
    </w:p>
    <w:p w14:paraId="3B671014" w14:textId="77777777" w:rsidR="00BF399A" w:rsidRDefault="00BF399A" w:rsidP="00BF399A">
      <w:pPr>
        <w:spacing w:after="0" w:line="240" w:lineRule="auto"/>
        <w:rPr>
          <w:rFonts w:ascii="Calibri" w:eastAsia="Times New Roman" w:hAnsi="Calibri" w:cs="Times New Roman"/>
          <w:lang w:eastAsia="en-GB"/>
        </w:rPr>
      </w:pPr>
    </w:p>
    <w:p w14:paraId="7BE0B311" w14:textId="77777777" w:rsidR="00BF399A" w:rsidRPr="00EF20A9" w:rsidRDefault="00BF399A" w:rsidP="00BF399A">
      <w:pPr>
        <w:spacing w:line="240" w:lineRule="auto"/>
        <w:rPr>
          <w:rFonts w:ascii="Calibri" w:eastAsia="Times New Roman" w:hAnsi="Calibri" w:cs="Times New Roman"/>
          <w:sz w:val="24"/>
          <w:szCs w:val="24"/>
          <w:lang w:eastAsia="en-GB"/>
        </w:rPr>
      </w:pPr>
      <w:r w:rsidRPr="00474540">
        <w:rPr>
          <w:rFonts w:ascii="Calibri" w:eastAsia="Times New Roman" w:hAnsi="Calibri" w:cs="Times New Roman"/>
          <w:sz w:val="24"/>
          <w:szCs w:val="24"/>
          <w:lang w:eastAsia="en-GB"/>
        </w:rPr>
        <w:t xml:space="preserve">Section 4 tests the performance of the CO methods when using LA benchmarks and selecting from a LA donor pool rather than EA area pool. </w:t>
      </w:r>
      <w:r w:rsidRPr="00474540">
        <w:rPr>
          <w:sz w:val="24"/>
        </w:rPr>
        <w:t xml:space="preserve">This early work has indicated that CO can </w:t>
      </w:r>
      <w:proofErr w:type="spellStart"/>
      <w:r w:rsidRPr="00474540">
        <w:rPr>
          <w:sz w:val="24"/>
        </w:rPr>
        <w:t>optimise</w:t>
      </w:r>
      <w:proofErr w:type="spellEnd"/>
      <w:r w:rsidRPr="00474540">
        <w:rPr>
          <w:sz w:val="24"/>
        </w:rPr>
        <w:t xml:space="preserve"> well with smaller donor pools and benchmarks.</w:t>
      </w:r>
      <w:r>
        <w:rPr>
          <w:sz w:val="24"/>
        </w:rPr>
        <w:t xml:space="preserve"> </w:t>
      </w:r>
      <w:r w:rsidRPr="00474540">
        <w:rPr>
          <w:sz w:val="24"/>
        </w:rPr>
        <w:t xml:space="preserve">Of the 5 LAs tested we found that there was </w:t>
      </w:r>
      <w:r>
        <w:rPr>
          <w:sz w:val="24"/>
        </w:rPr>
        <w:t>minimal</w:t>
      </w:r>
      <w:r w:rsidRPr="00474540">
        <w:rPr>
          <w:sz w:val="24"/>
        </w:rPr>
        <w:t xml:space="preserve"> bias across the age-sex, tenure, hard to count index, activity last week and ethnicity benchmark variables, however </w:t>
      </w:r>
      <w:r>
        <w:rPr>
          <w:sz w:val="24"/>
        </w:rPr>
        <w:t xml:space="preserve">some </w:t>
      </w:r>
      <w:r w:rsidRPr="00474540">
        <w:rPr>
          <w:sz w:val="24"/>
        </w:rPr>
        <w:t xml:space="preserve">bias was found the LAs in the East Midlands </w:t>
      </w:r>
      <w:r>
        <w:rPr>
          <w:sz w:val="24"/>
        </w:rPr>
        <w:t>for the household size variable.</w:t>
      </w:r>
      <w:r w:rsidRPr="00EF20A9">
        <w:rPr>
          <w:color w:val="F79646" w:themeColor="accent6"/>
          <w:sz w:val="24"/>
        </w:rPr>
        <w:t xml:space="preserve"> </w:t>
      </w:r>
    </w:p>
    <w:p w14:paraId="76429147" w14:textId="77777777" w:rsidR="00BF399A" w:rsidRPr="00EF5F72" w:rsidRDefault="00BF399A" w:rsidP="00BF399A">
      <w:pPr>
        <w:spacing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Finally, in section 5 we outlined our plans for using administrative data for the census adjustment. The most valuable use is expected to be in providing additional evidence with which to place donors into appropriate postcodes. </w:t>
      </w:r>
      <w:r w:rsidRPr="00D26429">
        <w:rPr>
          <w:sz w:val="24"/>
          <w:szCs w:val="24"/>
        </w:rPr>
        <w:t xml:space="preserve">For records where there is a link between the census </w:t>
      </w:r>
      <w:r>
        <w:rPr>
          <w:sz w:val="24"/>
          <w:szCs w:val="24"/>
        </w:rPr>
        <w:t xml:space="preserve">(or dummy forms) </w:t>
      </w:r>
      <w:r w:rsidRPr="00D26429">
        <w:rPr>
          <w:sz w:val="24"/>
          <w:szCs w:val="24"/>
        </w:rPr>
        <w:t>and an administrative data source, we could make use of additional variables from the administrative data</w:t>
      </w:r>
      <w:r>
        <w:rPr>
          <w:sz w:val="24"/>
          <w:szCs w:val="24"/>
        </w:rPr>
        <w:t xml:space="preserve"> to better inform </w:t>
      </w:r>
      <w:r w:rsidRPr="00D26429">
        <w:rPr>
          <w:sz w:val="24"/>
          <w:szCs w:val="24"/>
        </w:rPr>
        <w:t xml:space="preserve">the </w:t>
      </w:r>
      <w:r>
        <w:rPr>
          <w:sz w:val="24"/>
          <w:szCs w:val="24"/>
        </w:rPr>
        <w:t xml:space="preserve">pairing of </w:t>
      </w:r>
      <w:r w:rsidRPr="00D26429">
        <w:rPr>
          <w:sz w:val="24"/>
          <w:szCs w:val="24"/>
        </w:rPr>
        <w:t xml:space="preserve">dummy form records to the donor households. For example, </w:t>
      </w:r>
      <w:r>
        <w:rPr>
          <w:sz w:val="24"/>
          <w:szCs w:val="24"/>
        </w:rPr>
        <w:t xml:space="preserve">using </w:t>
      </w:r>
      <w:r w:rsidRPr="00D26429">
        <w:rPr>
          <w:sz w:val="24"/>
          <w:szCs w:val="24"/>
        </w:rPr>
        <w:t>council tax data with a variable indicating discount for a one-person household</w:t>
      </w:r>
      <w:r>
        <w:rPr>
          <w:sz w:val="24"/>
          <w:szCs w:val="24"/>
        </w:rPr>
        <w:t xml:space="preserve">. For efficiency this should be carried out as data preparation before the adjustment processing begins and is dependent on successful quality </w:t>
      </w:r>
      <w:r>
        <w:rPr>
          <w:sz w:val="24"/>
          <w:szCs w:val="24"/>
        </w:rPr>
        <w:lastRenderedPageBreak/>
        <w:t>assurance and linking of census data. We plan to specify the enhancements to the information provided with dummy form data within our data requirement specification.</w:t>
      </w:r>
    </w:p>
    <w:p w14:paraId="72CC459A" w14:textId="77777777" w:rsidR="00BF399A" w:rsidRDefault="00BF399A" w:rsidP="00BF399A">
      <w:pPr>
        <w:tabs>
          <w:tab w:val="left" w:pos="1992"/>
        </w:tabs>
        <w:spacing w:line="240" w:lineRule="auto"/>
        <w:rPr>
          <w:b/>
          <w:sz w:val="24"/>
          <w:szCs w:val="24"/>
        </w:rPr>
      </w:pPr>
      <w:r>
        <w:rPr>
          <w:b/>
          <w:sz w:val="24"/>
          <w:szCs w:val="24"/>
        </w:rPr>
        <w:t>Summary of future work</w:t>
      </w:r>
      <w:r>
        <w:rPr>
          <w:b/>
          <w:sz w:val="24"/>
          <w:szCs w:val="24"/>
        </w:rPr>
        <w:tab/>
      </w:r>
    </w:p>
    <w:p w14:paraId="21972C0B" w14:textId="77777777" w:rsidR="00BF399A" w:rsidRPr="0027148A" w:rsidRDefault="00BF399A" w:rsidP="00BF399A">
      <w:pPr>
        <w:pStyle w:val="ListParagraph"/>
        <w:numPr>
          <w:ilvl w:val="0"/>
          <w:numId w:val="23"/>
        </w:numPr>
        <w:spacing w:after="0" w:line="240" w:lineRule="auto"/>
        <w:rPr>
          <w:rFonts w:ascii="Calibri" w:eastAsia="Times New Roman" w:hAnsi="Calibri" w:cs="Times New Roman"/>
          <w:sz w:val="24"/>
          <w:szCs w:val="24"/>
          <w:lang w:eastAsia="en-GB"/>
        </w:rPr>
      </w:pPr>
      <w:r w:rsidRPr="0027148A">
        <w:rPr>
          <w:rFonts w:ascii="Calibri" w:eastAsia="Times New Roman" w:hAnsi="Calibri" w:cs="Times New Roman"/>
          <w:sz w:val="24"/>
          <w:szCs w:val="24"/>
          <w:lang w:eastAsia="en-GB"/>
        </w:rPr>
        <w:t>Further testing of the CO method to better understand the properties of the CO outputs. This will include:</w:t>
      </w:r>
    </w:p>
    <w:p w14:paraId="3F8168A7" w14:textId="77777777" w:rsidR="00BF399A" w:rsidRPr="00D83FE1" w:rsidRDefault="00BF399A" w:rsidP="00BF399A">
      <w:pPr>
        <w:pStyle w:val="ListParagraph"/>
        <w:numPr>
          <w:ilvl w:val="0"/>
          <w:numId w:val="22"/>
        </w:numPr>
        <w:spacing w:after="0" w:line="240" w:lineRule="auto"/>
        <w:rPr>
          <w:rFonts w:ascii="Calibri" w:eastAsia="Times New Roman" w:hAnsi="Calibri" w:cs="Times New Roman"/>
          <w:sz w:val="24"/>
          <w:szCs w:val="24"/>
          <w:lang w:eastAsia="en-GB"/>
        </w:rPr>
      </w:pPr>
      <w:r w:rsidRPr="0027148A">
        <w:rPr>
          <w:rFonts w:ascii="Calibri" w:eastAsia="Times New Roman" w:hAnsi="Calibri" w:cs="Times New Roman"/>
          <w:sz w:val="24"/>
          <w:szCs w:val="24"/>
          <w:lang w:eastAsia="en-GB"/>
        </w:rPr>
        <w:t xml:space="preserve">Using additional </w:t>
      </w:r>
      <w:r>
        <w:rPr>
          <w:rFonts w:ascii="Calibri" w:eastAsia="Times New Roman" w:hAnsi="Calibri" w:cs="Times New Roman"/>
          <w:sz w:val="24"/>
          <w:szCs w:val="24"/>
          <w:lang w:eastAsia="en-GB"/>
        </w:rPr>
        <w:t>benchmark</w:t>
      </w:r>
      <w:r w:rsidRPr="0027148A">
        <w:rPr>
          <w:rFonts w:ascii="Calibri" w:eastAsia="Times New Roman" w:hAnsi="Calibri" w:cs="Times New Roman"/>
          <w:sz w:val="24"/>
          <w:szCs w:val="24"/>
          <w:lang w:eastAsia="en-GB"/>
        </w:rPr>
        <w:t>s for CO to assess whether this improves the imputation for smaller geographical areas.</w:t>
      </w:r>
      <w:r w:rsidRPr="00D83FE1">
        <w:rPr>
          <w:sz w:val="24"/>
          <w:szCs w:val="24"/>
        </w:rPr>
        <w:t xml:space="preserve"> </w:t>
      </w:r>
    </w:p>
    <w:p w14:paraId="6298B385" w14:textId="77777777" w:rsidR="00BF399A" w:rsidRPr="00D83FE1" w:rsidRDefault="00BF399A" w:rsidP="00BF399A">
      <w:pPr>
        <w:pStyle w:val="ListParagraph"/>
        <w:numPr>
          <w:ilvl w:val="0"/>
          <w:numId w:val="22"/>
        </w:numPr>
        <w:spacing w:after="0" w:line="240" w:lineRule="auto"/>
        <w:rPr>
          <w:rFonts w:ascii="Calibri" w:eastAsia="Times New Roman" w:hAnsi="Calibri" w:cs="Times New Roman"/>
          <w:sz w:val="24"/>
          <w:szCs w:val="24"/>
          <w:lang w:eastAsia="en-GB"/>
        </w:rPr>
      </w:pPr>
      <w:r w:rsidRPr="0027148A">
        <w:rPr>
          <w:sz w:val="24"/>
          <w:szCs w:val="24"/>
        </w:rPr>
        <w:t xml:space="preserve">The processing times for running the adjustment with more </w:t>
      </w:r>
      <w:r>
        <w:rPr>
          <w:sz w:val="24"/>
          <w:szCs w:val="24"/>
        </w:rPr>
        <w:t>benchmark</w:t>
      </w:r>
      <w:r w:rsidRPr="0027148A">
        <w:rPr>
          <w:sz w:val="24"/>
          <w:szCs w:val="24"/>
        </w:rPr>
        <w:t>s</w:t>
      </w:r>
      <w:r>
        <w:rPr>
          <w:sz w:val="24"/>
          <w:szCs w:val="24"/>
        </w:rPr>
        <w:t>.  To some extent longer running times could be trader for improvements in the quality of the outputs.</w:t>
      </w:r>
    </w:p>
    <w:p w14:paraId="172BE1E4" w14:textId="77777777" w:rsidR="00BF399A" w:rsidRPr="00D95F18" w:rsidRDefault="00BF399A" w:rsidP="00BF399A">
      <w:pPr>
        <w:pStyle w:val="ListParagraph"/>
        <w:numPr>
          <w:ilvl w:val="0"/>
          <w:numId w:val="22"/>
        </w:numPr>
        <w:spacing w:after="0" w:line="240" w:lineRule="auto"/>
        <w:rPr>
          <w:rFonts w:ascii="Calibri" w:eastAsia="Times New Roman" w:hAnsi="Calibri" w:cs="Times New Roman"/>
          <w:sz w:val="24"/>
          <w:szCs w:val="24"/>
          <w:lang w:eastAsia="en-GB"/>
        </w:rPr>
      </w:pPr>
      <w:r w:rsidRPr="0027148A">
        <w:rPr>
          <w:rFonts w:ascii="Calibri" w:eastAsia="Times New Roman" w:hAnsi="Calibri" w:cs="Times New Roman"/>
          <w:sz w:val="24"/>
          <w:szCs w:val="24"/>
          <w:lang w:eastAsia="en-GB"/>
        </w:rPr>
        <w:t>Testing the methods in additional EAs and LAs and t</w:t>
      </w:r>
      <w:r w:rsidRPr="0027148A">
        <w:rPr>
          <w:sz w:val="24"/>
          <w:szCs w:val="24"/>
        </w:rPr>
        <w:t>he limits of the method</w:t>
      </w:r>
    </w:p>
    <w:p w14:paraId="0985A2E0" w14:textId="77777777" w:rsidR="00BF399A" w:rsidRPr="0027148A" w:rsidRDefault="00BF399A" w:rsidP="00BF399A">
      <w:pPr>
        <w:pStyle w:val="ListParagraph"/>
        <w:numPr>
          <w:ilvl w:val="0"/>
          <w:numId w:val="22"/>
        </w:numPr>
        <w:spacing w:after="0" w:line="240" w:lineRule="auto"/>
        <w:rPr>
          <w:rFonts w:ascii="Calibri" w:eastAsia="Times New Roman" w:hAnsi="Calibri" w:cs="Times New Roman"/>
          <w:sz w:val="24"/>
          <w:szCs w:val="24"/>
          <w:lang w:eastAsia="en-GB"/>
        </w:rPr>
      </w:pPr>
      <w:r>
        <w:rPr>
          <w:sz w:val="24"/>
          <w:szCs w:val="24"/>
        </w:rPr>
        <w:t>Further analysis different coverage scenarios, including a greater number of missed households.</w:t>
      </w:r>
    </w:p>
    <w:p w14:paraId="66C623F2" w14:textId="77777777" w:rsidR="00BF399A" w:rsidRPr="0027148A" w:rsidRDefault="00BF399A" w:rsidP="00BF399A">
      <w:pPr>
        <w:pStyle w:val="ListParagraph"/>
        <w:numPr>
          <w:ilvl w:val="0"/>
          <w:numId w:val="22"/>
        </w:numPr>
        <w:spacing w:after="0" w:line="240" w:lineRule="auto"/>
        <w:rPr>
          <w:rFonts w:ascii="Calibri" w:eastAsia="Times New Roman" w:hAnsi="Calibri" w:cs="Times New Roman"/>
          <w:sz w:val="24"/>
          <w:szCs w:val="24"/>
          <w:lang w:eastAsia="en-GB"/>
        </w:rPr>
      </w:pPr>
      <w:r w:rsidRPr="0027148A">
        <w:rPr>
          <w:sz w:val="24"/>
          <w:szCs w:val="24"/>
        </w:rPr>
        <w:t xml:space="preserve">The methods to impute individuals missed from Communal Establishments (CEs). </w:t>
      </w:r>
    </w:p>
    <w:p w14:paraId="5A5DDA12" w14:textId="77777777" w:rsidR="00BF399A" w:rsidRPr="0027148A" w:rsidRDefault="00BF399A" w:rsidP="00BF399A">
      <w:pPr>
        <w:spacing w:after="0" w:line="240" w:lineRule="auto"/>
        <w:ind w:left="360"/>
        <w:rPr>
          <w:rFonts w:ascii="Calibri" w:eastAsia="Times New Roman" w:hAnsi="Calibri" w:cs="Times New Roman"/>
          <w:sz w:val="24"/>
          <w:szCs w:val="24"/>
          <w:lang w:eastAsia="en-GB"/>
        </w:rPr>
      </w:pPr>
    </w:p>
    <w:p w14:paraId="5D83D89A" w14:textId="77777777" w:rsidR="00BF399A" w:rsidRPr="00E83ED0" w:rsidRDefault="00BF399A" w:rsidP="00BF399A">
      <w:pPr>
        <w:spacing w:after="0" w:line="240" w:lineRule="auto"/>
        <w:rPr>
          <w:rFonts w:ascii="Calibri" w:eastAsia="Times New Roman" w:hAnsi="Calibri" w:cs="Times New Roman"/>
          <w:lang w:eastAsia="en-GB"/>
        </w:rPr>
      </w:pPr>
    </w:p>
    <w:p w14:paraId="261973A6" w14:textId="77777777" w:rsidR="00BF399A" w:rsidRPr="0027148A" w:rsidRDefault="00BF399A" w:rsidP="00BF399A">
      <w:pPr>
        <w:pStyle w:val="NoSpacing"/>
        <w:numPr>
          <w:ilvl w:val="0"/>
          <w:numId w:val="23"/>
        </w:numPr>
        <w:jc w:val="left"/>
        <w:rPr>
          <w:sz w:val="24"/>
          <w:szCs w:val="24"/>
        </w:rPr>
      </w:pPr>
      <w:r w:rsidRPr="0027148A">
        <w:rPr>
          <w:sz w:val="24"/>
          <w:szCs w:val="24"/>
        </w:rPr>
        <w:t>The variability of estimated variables</w:t>
      </w:r>
      <w:r>
        <w:rPr>
          <w:sz w:val="24"/>
          <w:szCs w:val="24"/>
        </w:rPr>
        <w:t xml:space="preserve">: </w:t>
      </w:r>
      <w:r w:rsidRPr="0027148A">
        <w:rPr>
          <w:rFonts w:ascii="Calibri" w:eastAsia="Times New Roman" w:hAnsi="Calibri" w:cs="Times New Roman"/>
          <w:sz w:val="24"/>
          <w:szCs w:val="24"/>
          <w:lang w:eastAsia="en-GB"/>
        </w:rPr>
        <w:t xml:space="preserve">To date </w:t>
      </w:r>
      <w:r w:rsidRPr="0027148A">
        <w:rPr>
          <w:sz w:val="24"/>
          <w:szCs w:val="24"/>
        </w:rPr>
        <w:t xml:space="preserve">emphasis has been on using a fixed unadjusted census database for a given area then running the CO 100 times to give 100 different selections of donors. </w:t>
      </w:r>
      <w:r>
        <w:rPr>
          <w:sz w:val="24"/>
          <w:szCs w:val="24"/>
        </w:rPr>
        <w:t xml:space="preserve">The plan </w:t>
      </w:r>
      <w:r w:rsidRPr="00F77BBA">
        <w:rPr>
          <w:sz w:val="24"/>
          <w:szCs w:val="24"/>
        </w:rPr>
        <w:t xml:space="preserve">is </w:t>
      </w:r>
      <w:r>
        <w:rPr>
          <w:sz w:val="24"/>
          <w:szCs w:val="24"/>
        </w:rPr>
        <w:t xml:space="preserve">to </w:t>
      </w:r>
      <w:r w:rsidRPr="00F77BBA">
        <w:rPr>
          <w:sz w:val="24"/>
          <w:szCs w:val="24"/>
        </w:rPr>
        <w:t>develop an option to run multiple times and choose a central “minimum error” completion to be used as donors.</w:t>
      </w:r>
      <w:r>
        <w:t xml:space="preserve"> </w:t>
      </w:r>
      <w:r w:rsidRPr="0027148A">
        <w:rPr>
          <w:sz w:val="24"/>
          <w:szCs w:val="24"/>
        </w:rPr>
        <w:t xml:space="preserve">This will be extended by simulating multiple unadjusted </w:t>
      </w:r>
      <w:r>
        <w:rPr>
          <w:sz w:val="24"/>
          <w:szCs w:val="24"/>
        </w:rPr>
        <w:t>c</w:t>
      </w:r>
      <w:r w:rsidRPr="0027148A">
        <w:rPr>
          <w:sz w:val="24"/>
          <w:szCs w:val="24"/>
        </w:rPr>
        <w:t xml:space="preserve">ensus databases from the true </w:t>
      </w:r>
      <w:r>
        <w:rPr>
          <w:sz w:val="24"/>
          <w:szCs w:val="24"/>
        </w:rPr>
        <w:t>c</w:t>
      </w:r>
      <w:r w:rsidRPr="0027148A">
        <w:rPr>
          <w:sz w:val="24"/>
          <w:szCs w:val="24"/>
        </w:rPr>
        <w:t xml:space="preserve">ensus database and running the CO method for each unadjusted </w:t>
      </w:r>
      <w:r>
        <w:rPr>
          <w:sz w:val="24"/>
          <w:szCs w:val="24"/>
        </w:rPr>
        <w:t>c</w:t>
      </w:r>
      <w:r w:rsidRPr="0027148A">
        <w:rPr>
          <w:sz w:val="24"/>
          <w:szCs w:val="24"/>
        </w:rPr>
        <w:t xml:space="preserve">ensus database. This would allow an assessment of the variability and bias in different unadjusted </w:t>
      </w:r>
      <w:r>
        <w:rPr>
          <w:sz w:val="24"/>
          <w:szCs w:val="24"/>
        </w:rPr>
        <w:t>c</w:t>
      </w:r>
      <w:r w:rsidRPr="0027148A">
        <w:rPr>
          <w:sz w:val="24"/>
          <w:szCs w:val="24"/>
        </w:rPr>
        <w:t>ensus databases for a given area as well as the random component of the CO procedure.</w:t>
      </w:r>
      <w:r>
        <w:rPr>
          <w:sz w:val="24"/>
          <w:szCs w:val="24"/>
        </w:rPr>
        <w:t xml:space="preserve"> </w:t>
      </w:r>
      <w:r w:rsidRPr="0027148A">
        <w:rPr>
          <w:sz w:val="24"/>
          <w:szCs w:val="24"/>
        </w:rPr>
        <w:t>In the longer term this could be added with the variance estimation of whole estimation procedures to create measures of uncertainty.</w:t>
      </w:r>
    </w:p>
    <w:p w14:paraId="397669C4" w14:textId="77777777" w:rsidR="00BF399A" w:rsidRPr="00AF0641" w:rsidRDefault="00BF399A" w:rsidP="00BF399A">
      <w:pPr>
        <w:spacing w:after="0" w:line="240" w:lineRule="auto"/>
        <w:ind w:left="540"/>
        <w:rPr>
          <w:rFonts w:ascii="Calibri" w:eastAsia="Times New Roman" w:hAnsi="Calibri" w:cs="Times New Roman"/>
          <w:lang w:eastAsia="en-GB"/>
        </w:rPr>
      </w:pPr>
    </w:p>
    <w:p w14:paraId="0EC46277" w14:textId="77777777" w:rsidR="00BF399A" w:rsidRDefault="00BF399A" w:rsidP="00BF399A">
      <w:pPr>
        <w:rPr>
          <w:b/>
          <w:sz w:val="24"/>
          <w:szCs w:val="24"/>
        </w:rPr>
      </w:pPr>
    </w:p>
    <w:p w14:paraId="1F02360A" w14:textId="77777777" w:rsidR="00BF399A" w:rsidRDefault="00BF399A" w:rsidP="00BF399A">
      <w:pPr>
        <w:rPr>
          <w:b/>
          <w:sz w:val="24"/>
          <w:szCs w:val="24"/>
        </w:rPr>
      </w:pPr>
    </w:p>
    <w:p w14:paraId="32DFEA10" w14:textId="77777777" w:rsidR="00BF399A" w:rsidRDefault="00BF399A" w:rsidP="00BF399A">
      <w:pPr>
        <w:rPr>
          <w:b/>
          <w:sz w:val="24"/>
          <w:szCs w:val="24"/>
        </w:rPr>
      </w:pPr>
    </w:p>
    <w:p w14:paraId="532325C7" w14:textId="77777777" w:rsidR="00BF399A" w:rsidRDefault="00BF399A" w:rsidP="00BF399A">
      <w:pPr>
        <w:rPr>
          <w:b/>
          <w:sz w:val="24"/>
          <w:szCs w:val="24"/>
        </w:rPr>
      </w:pPr>
    </w:p>
    <w:p w14:paraId="066D2574" w14:textId="77777777" w:rsidR="00BF399A" w:rsidRDefault="00BF399A" w:rsidP="00BF399A">
      <w:pPr>
        <w:rPr>
          <w:b/>
          <w:sz w:val="24"/>
          <w:szCs w:val="24"/>
        </w:rPr>
      </w:pPr>
    </w:p>
    <w:p w14:paraId="244284AC" w14:textId="77777777" w:rsidR="00BF399A" w:rsidRDefault="00BF399A" w:rsidP="00BF399A">
      <w:pPr>
        <w:rPr>
          <w:b/>
          <w:sz w:val="24"/>
          <w:szCs w:val="24"/>
        </w:rPr>
      </w:pPr>
    </w:p>
    <w:p w14:paraId="26E8706F" w14:textId="77777777" w:rsidR="00BF399A" w:rsidRDefault="00BF399A" w:rsidP="00BF399A">
      <w:pPr>
        <w:rPr>
          <w:b/>
          <w:sz w:val="24"/>
          <w:szCs w:val="24"/>
        </w:rPr>
      </w:pPr>
    </w:p>
    <w:p w14:paraId="3E2E23C6" w14:textId="77777777" w:rsidR="00BF399A" w:rsidRDefault="00BF399A" w:rsidP="00BF399A">
      <w:pPr>
        <w:rPr>
          <w:b/>
          <w:sz w:val="24"/>
          <w:szCs w:val="24"/>
        </w:rPr>
      </w:pPr>
    </w:p>
    <w:p w14:paraId="0B1F276B" w14:textId="77777777" w:rsidR="00BF399A" w:rsidRDefault="00BF399A" w:rsidP="00BF399A">
      <w:pPr>
        <w:rPr>
          <w:b/>
          <w:sz w:val="24"/>
          <w:szCs w:val="24"/>
        </w:rPr>
      </w:pPr>
      <w:r w:rsidRPr="001930D7">
        <w:rPr>
          <w:b/>
          <w:sz w:val="24"/>
          <w:szCs w:val="24"/>
        </w:rPr>
        <w:lastRenderedPageBreak/>
        <w:t>References</w:t>
      </w:r>
    </w:p>
    <w:p w14:paraId="4537E819" w14:textId="77777777" w:rsidR="00BF399A" w:rsidRPr="00781729" w:rsidRDefault="00BF399A" w:rsidP="00BF399A">
      <w:pPr>
        <w:rPr>
          <w:sz w:val="24"/>
          <w:szCs w:val="24"/>
        </w:rPr>
      </w:pPr>
      <w:bookmarkStart w:id="7" w:name="_Hlk19193179"/>
      <w:r w:rsidRPr="00781729">
        <w:rPr>
          <w:sz w:val="24"/>
          <w:szCs w:val="24"/>
        </w:rPr>
        <w:t>North, R</w:t>
      </w:r>
      <w:r>
        <w:rPr>
          <w:sz w:val="24"/>
          <w:szCs w:val="24"/>
        </w:rPr>
        <w:t>., (</w:t>
      </w:r>
      <w:r w:rsidRPr="00781729">
        <w:rPr>
          <w:sz w:val="24"/>
          <w:szCs w:val="24"/>
        </w:rPr>
        <w:t>2019</w:t>
      </w:r>
      <w:r>
        <w:rPr>
          <w:sz w:val="24"/>
          <w:szCs w:val="24"/>
        </w:rPr>
        <w:t>),</w:t>
      </w:r>
      <w:r w:rsidRPr="00781729">
        <w:rPr>
          <w:sz w:val="24"/>
          <w:szCs w:val="24"/>
        </w:rPr>
        <w:t xml:space="preserve"> “Combinatorial Optimisation for Census adjustment in 2021”, Internal working paper.</w:t>
      </w:r>
    </w:p>
    <w:p w14:paraId="0CCFD1B7" w14:textId="77777777" w:rsidR="00BF399A" w:rsidRPr="00AE2B70" w:rsidRDefault="00BF399A" w:rsidP="00BF399A">
      <w:pPr>
        <w:spacing w:after="0" w:line="240" w:lineRule="auto"/>
        <w:rPr>
          <w:sz w:val="24"/>
          <w:szCs w:val="24"/>
        </w:rPr>
      </w:pPr>
      <w:r w:rsidRPr="00AE2B70">
        <w:rPr>
          <w:sz w:val="24"/>
          <w:szCs w:val="24"/>
        </w:rPr>
        <w:t xml:space="preserve">Oguz, S and Abbott, O., (2016), </w:t>
      </w:r>
      <w:bookmarkEnd w:id="7"/>
      <w:r w:rsidRPr="00AE2B70">
        <w:rPr>
          <w:sz w:val="24"/>
          <w:szCs w:val="24"/>
        </w:rPr>
        <w:t>“2021 Census Coverage Adjustment Methodology”, 31</w:t>
      </w:r>
      <w:r w:rsidRPr="00AE2B70">
        <w:rPr>
          <w:sz w:val="24"/>
          <w:szCs w:val="24"/>
          <w:vertAlign w:val="superscript"/>
        </w:rPr>
        <w:t>st</w:t>
      </w:r>
      <w:r w:rsidRPr="00AE2B70">
        <w:rPr>
          <w:sz w:val="24"/>
          <w:szCs w:val="24"/>
        </w:rPr>
        <w:t xml:space="preserve"> Meeting of the GSS Methodology Advisory Committee, ONS.</w:t>
      </w:r>
    </w:p>
    <w:p w14:paraId="1BAD09A9" w14:textId="77777777" w:rsidR="00BF399A" w:rsidRPr="00AE2B70" w:rsidRDefault="002656CE" w:rsidP="00BF399A">
      <w:pPr>
        <w:spacing w:line="240" w:lineRule="auto"/>
        <w:rPr>
          <w:sz w:val="24"/>
          <w:szCs w:val="24"/>
        </w:rPr>
      </w:pPr>
      <w:hyperlink r:id="rId15" w:history="1">
        <w:r w:rsidR="00BF399A" w:rsidRPr="00AE2B70">
          <w:rPr>
            <w:rStyle w:val="Hyperlink"/>
            <w:color w:val="0070C0"/>
            <w:sz w:val="24"/>
            <w:szCs w:val="24"/>
          </w:rPr>
          <w:t>https://gss.civilservice.gov.uk/wp-content/uploads/2013/03/GSS-MAC-31-Booklet_3.pdf</w:t>
        </w:r>
      </w:hyperlink>
    </w:p>
    <w:p w14:paraId="58586A5D" w14:textId="77777777" w:rsidR="00BF399A" w:rsidRPr="00896C3B" w:rsidRDefault="00BF399A" w:rsidP="00BF399A">
      <w:pPr>
        <w:rPr>
          <w:sz w:val="24"/>
          <w:szCs w:val="24"/>
        </w:rPr>
      </w:pPr>
      <w:r w:rsidRPr="00896C3B">
        <w:rPr>
          <w:sz w:val="24"/>
          <w:szCs w:val="24"/>
        </w:rPr>
        <w:t xml:space="preserve">Whitworth, A, Sexton, C and North, R., (2018), “The 2021 Census Coverage Adjustment Strategy”, </w:t>
      </w:r>
      <w:r>
        <w:rPr>
          <w:sz w:val="24"/>
          <w:szCs w:val="24"/>
        </w:rPr>
        <w:t>Unpublished i</w:t>
      </w:r>
      <w:r w:rsidRPr="00896C3B">
        <w:rPr>
          <w:sz w:val="24"/>
          <w:szCs w:val="24"/>
        </w:rPr>
        <w:t>nternal working paper for the External Review (September 2018).</w:t>
      </w:r>
    </w:p>
    <w:p w14:paraId="52F5670C" w14:textId="77777777" w:rsidR="00BF399A" w:rsidRPr="001930D7" w:rsidRDefault="00BF399A" w:rsidP="00BF399A">
      <w:pPr>
        <w:rPr>
          <w:b/>
          <w:sz w:val="24"/>
          <w:szCs w:val="24"/>
        </w:rPr>
      </w:pPr>
      <w:r w:rsidRPr="001930D7">
        <w:rPr>
          <w:b/>
          <w:sz w:val="24"/>
          <w:szCs w:val="24"/>
        </w:rPr>
        <w:br w:type="page"/>
      </w:r>
    </w:p>
    <w:p w14:paraId="2B7F1B77" w14:textId="77777777" w:rsidR="00BF399A" w:rsidRPr="00976962" w:rsidRDefault="00BF399A" w:rsidP="00BF399A">
      <w:pPr>
        <w:rPr>
          <w:b/>
          <w:sz w:val="28"/>
          <w:szCs w:val="28"/>
        </w:rPr>
      </w:pPr>
      <w:r w:rsidRPr="00976962">
        <w:rPr>
          <w:b/>
          <w:sz w:val="28"/>
          <w:szCs w:val="28"/>
        </w:rPr>
        <w:lastRenderedPageBreak/>
        <w:t xml:space="preserve">Appendix </w:t>
      </w:r>
      <w:r>
        <w:rPr>
          <w:b/>
          <w:sz w:val="28"/>
          <w:szCs w:val="28"/>
        </w:rPr>
        <w:t>A</w:t>
      </w:r>
    </w:p>
    <w:p w14:paraId="464D717B" w14:textId="77777777" w:rsidR="00BF399A" w:rsidRPr="00976962" w:rsidRDefault="00BF399A" w:rsidP="00BF399A">
      <w:pPr>
        <w:spacing w:after="0" w:line="240" w:lineRule="auto"/>
        <w:rPr>
          <w:b/>
          <w:sz w:val="24"/>
          <w:szCs w:val="24"/>
        </w:rPr>
      </w:pPr>
      <w:r w:rsidRPr="00976962">
        <w:rPr>
          <w:b/>
          <w:sz w:val="24"/>
          <w:szCs w:val="24"/>
        </w:rPr>
        <w:t>Combinatorial Optimisation (CO) method</w:t>
      </w:r>
    </w:p>
    <w:p w14:paraId="24075FF1" w14:textId="77777777" w:rsidR="00BF399A" w:rsidRDefault="00BF399A" w:rsidP="00BF399A">
      <w:pPr>
        <w:spacing w:line="240" w:lineRule="auto"/>
        <w:rPr>
          <w:sz w:val="24"/>
          <w:szCs w:val="24"/>
        </w:rPr>
      </w:pPr>
      <w:r>
        <w:rPr>
          <w:sz w:val="24"/>
          <w:szCs w:val="24"/>
        </w:rPr>
        <w:t>CO is an integer programming method which involves finding the best combination (solution) from a finite set of combinations for a problem (</w:t>
      </w:r>
      <w:proofErr w:type="spellStart"/>
      <w:r>
        <w:rPr>
          <w:bCs/>
          <w:sz w:val="24"/>
          <w:szCs w:val="24"/>
        </w:rPr>
        <w:t>Voas</w:t>
      </w:r>
      <w:proofErr w:type="spellEnd"/>
      <w:r>
        <w:rPr>
          <w:bCs/>
          <w:sz w:val="24"/>
          <w:szCs w:val="24"/>
        </w:rPr>
        <w:t xml:space="preserve"> and Williamson, </w:t>
      </w:r>
      <w:r>
        <w:rPr>
          <w:sz w:val="24"/>
          <w:szCs w:val="24"/>
        </w:rPr>
        <w:t>2000</w:t>
      </w:r>
      <w:r>
        <w:rPr>
          <w:bCs/>
          <w:sz w:val="24"/>
          <w:szCs w:val="24"/>
        </w:rPr>
        <w:t>)</w:t>
      </w:r>
      <w:r>
        <w:rPr>
          <w:sz w:val="24"/>
          <w:szCs w:val="24"/>
        </w:rPr>
        <w:t xml:space="preserve">. In the context of the census coverage adjustment, CO involves the selection of a combination of households from the unadjusted census database that best fits the estimated benchmarks. In this context the benchmarks (or constraints) are totals of the individual and household variables in the local authorities/estimation areas from the coverage estimation process (i.e. of those who were missed from the census enumeration). </w:t>
      </w:r>
      <w:bookmarkStart w:id="8" w:name="_Hlk522634000"/>
      <w:r>
        <w:rPr>
          <w:sz w:val="24"/>
          <w:szCs w:val="24"/>
        </w:rPr>
        <w:t>When running the CO process, the benchmarks are specified as the shortfall between the unadjusted census database count and the corresponding benchmark total</w:t>
      </w:r>
      <w:bookmarkEnd w:id="8"/>
      <w:r>
        <w:rPr>
          <w:sz w:val="24"/>
          <w:szCs w:val="24"/>
        </w:rPr>
        <w:t>.</w:t>
      </w:r>
    </w:p>
    <w:p w14:paraId="49F85560" w14:textId="77777777" w:rsidR="00BF399A" w:rsidRDefault="00BF399A" w:rsidP="00BF399A">
      <w:pPr>
        <w:spacing w:line="240" w:lineRule="auto"/>
        <w:rPr>
          <w:sz w:val="24"/>
          <w:szCs w:val="24"/>
        </w:rPr>
      </w:pPr>
      <w:r>
        <w:rPr>
          <w:sz w:val="24"/>
          <w:szCs w:val="24"/>
        </w:rPr>
        <w:t>The CO approach is essentially an integer re-weighting exercise where most of the households in the census database are assigned zero weights and positive integer weights are assigned to a combination of households which satisfies the required constraints (imputation totals) for both households and individuals. Therefore, this approach can be considered as an alternative method for imputing households (and individuals within the households) estimated to have been missed by the census (Oguz and Abbott, 2016).</w:t>
      </w:r>
    </w:p>
    <w:p w14:paraId="56F01FE3" w14:textId="77777777" w:rsidR="00BF399A" w:rsidRDefault="00BF399A" w:rsidP="00BF399A">
      <w:pPr>
        <w:spacing w:line="240" w:lineRule="auto"/>
        <w:rPr>
          <w:sz w:val="24"/>
          <w:szCs w:val="24"/>
        </w:rPr>
      </w:pPr>
      <w:r>
        <w:rPr>
          <w:sz w:val="24"/>
          <w:szCs w:val="24"/>
          <w:lang w:val="en-GB"/>
        </w:rPr>
        <w:t xml:space="preserve">The research has used CO with the simulated annealing, which has been found to perform best with CO.  Simulated annealing determines whether a swapped in household is accepted. Household record </w:t>
      </w:r>
      <w:r w:rsidRPr="001F05A4">
        <w:rPr>
          <w:sz w:val="24"/>
          <w:szCs w:val="24"/>
          <w:lang w:val="en-GB"/>
        </w:rPr>
        <w:t>swaps</w:t>
      </w:r>
      <w:r w:rsidRPr="001F05A4">
        <w:rPr>
          <w:sz w:val="24"/>
          <w:szCs w:val="24"/>
        </w:rPr>
        <w:t xml:space="preserve"> which adversely affect the fit might be accepted in order to avoid getting trapped with a sub-optimal selection of households.</w:t>
      </w:r>
      <w:r>
        <w:rPr>
          <w:sz w:val="24"/>
          <w:szCs w:val="24"/>
        </w:rPr>
        <w:t xml:space="preserve"> </w:t>
      </w:r>
    </w:p>
    <w:p w14:paraId="55042367" w14:textId="77777777" w:rsidR="00BF399A" w:rsidRDefault="00BF399A" w:rsidP="00BF399A">
      <w:pPr>
        <w:rPr>
          <w:sz w:val="24"/>
          <w:szCs w:val="24"/>
        </w:rPr>
      </w:pPr>
      <w:r>
        <w:rPr>
          <w:sz w:val="24"/>
          <w:szCs w:val="24"/>
        </w:rPr>
        <w:t>NB Oguz and Abbott, (2016) also provide more detailed description of the methods.</w:t>
      </w:r>
    </w:p>
    <w:p w14:paraId="1ACEFB64" w14:textId="77777777" w:rsidR="00BF399A" w:rsidRDefault="00BF399A" w:rsidP="00BF399A">
      <w:pPr>
        <w:rPr>
          <w:sz w:val="24"/>
          <w:szCs w:val="24"/>
        </w:rPr>
      </w:pPr>
    </w:p>
    <w:p w14:paraId="118EDE0F" w14:textId="77777777" w:rsidR="00BF399A" w:rsidRDefault="00BF399A" w:rsidP="00BF399A">
      <w:pPr>
        <w:rPr>
          <w:sz w:val="24"/>
          <w:szCs w:val="24"/>
        </w:rPr>
      </w:pPr>
    </w:p>
    <w:p w14:paraId="30E997CD" w14:textId="77777777" w:rsidR="00BF399A" w:rsidRDefault="00BF399A" w:rsidP="00BF399A">
      <w:pPr>
        <w:rPr>
          <w:sz w:val="24"/>
          <w:szCs w:val="24"/>
        </w:rPr>
      </w:pPr>
    </w:p>
    <w:p w14:paraId="0C716FB6" w14:textId="77777777" w:rsidR="00BF399A" w:rsidRDefault="00BF399A" w:rsidP="00BF399A">
      <w:pPr>
        <w:rPr>
          <w:sz w:val="24"/>
          <w:szCs w:val="24"/>
        </w:rPr>
      </w:pPr>
    </w:p>
    <w:p w14:paraId="76D76398" w14:textId="77777777" w:rsidR="00BF399A" w:rsidRDefault="00BF399A" w:rsidP="00BF399A">
      <w:pPr>
        <w:rPr>
          <w:sz w:val="24"/>
          <w:szCs w:val="24"/>
        </w:rPr>
      </w:pPr>
    </w:p>
    <w:p w14:paraId="4014AD30" w14:textId="77777777" w:rsidR="00BF399A" w:rsidRDefault="00BF399A" w:rsidP="00BF399A">
      <w:pPr>
        <w:rPr>
          <w:sz w:val="24"/>
          <w:szCs w:val="24"/>
        </w:rPr>
      </w:pPr>
    </w:p>
    <w:p w14:paraId="7444E4B9" w14:textId="77777777" w:rsidR="00BF399A" w:rsidRDefault="00BF399A" w:rsidP="00BF399A">
      <w:pPr>
        <w:rPr>
          <w:sz w:val="24"/>
          <w:szCs w:val="24"/>
        </w:rPr>
      </w:pPr>
    </w:p>
    <w:p w14:paraId="120788B1" w14:textId="77777777" w:rsidR="00BF399A" w:rsidRDefault="00BF399A" w:rsidP="00BF399A">
      <w:pPr>
        <w:rPr>
          <w:sz w:val="24"/>
          <w:szCs w:val="24"/>
        </w:rPr>
      </w:pPr>
    </w:p>
    <w:p w14:paraId="4613AEF7" w14:textId="77777777" w:rsidR="00BF399A" w:rsidRDefault="00BF399A" w:rsidP="00BF399A">
      <w:pPr>
        <w:rPr>
          <w:sz w:val="24"/>
          <w:szCs w:val="24"/>
        </w:rPr>
      </w:pPr>
    </w:p>
    <w:p w14:paraId="7C2C0A33" w14:textId="77777777" w:rsidR="00BF399A" w:rsidRDefault="00BF399A" w:rsidP="00BF399A">
      <w:pPr>
        <w:rPr>
          <w:sz w:val="24"/>
          <w:szCs w:val="24"/>
        </w:rPr>
      </w:pPr>
    </w:p>
    <w:p w14:paraId="409049E0" w14:textId="77777777" w:rsidR="00BF399A" w:rsidRPr="00976962" w:rsidRDefault="00BF399A" w:rsidP="00BF399A">
      <w:pPr>
        <w:rPr>
          <w:b/>
          <w:sz w:val="28"/>
          <w:szCs w:val="28"/>
        </w:rPr>
      </w:pPr>
      <w:r w:rsidRPr="00976962">
        <w:rPr>
          <w:b/>
          <w:sz w:val="28"/>
          <w:szCs w:val="28"/>
        </w:rPr>
        <w:lastRenderedPageBreak/>
        <w:t xml:space="preserve">Appendix </w:t>
      </w:r>
      <w:r>
        <w:rPr>
          <w:b/>
          <w:sz w:val="28"/>
          <w:szCs w:val="28"/>
        </w:rPr>
        <w:t>B</w:t>
      </w:r>
      <w:r w:rsidRPr="00976962">
        <w:rPr>
          <w:b/>
          <w:sz w:val="28"/>
          <w:szCs w:val="28"/>
        </w:rPr>
        <w:t>: Further investigations of the use of the CO for the census adjustment process</w:t>
      </w:r>
    </w:p>
    <w:p w14:paraId="7A6F003F" w14:textId="77777777" w:rsidR="00BF399A" w:rsidRPr="00691F8A" w:rsidRDefault="00BF399A" w:rsidP="00BF399A">
      <w:pPr>
        <w:rPr>
          <w:sz w:val="24"/>
          <w:szCs w:val="24"/>
        </w:rPr>
      </w:pPr>
      <w:r w:rsidRPr="00691F8A">
        <w:rPr>
          <w:b/>
          <w:sz w:val="24"/>
          <w:szCs w:val="24"/>
        </w:rPr>
        <w:t>Table 1: Estimates of bias, relative bias and variance for the CO results for estimation area EM05NSDE in the East Midlands, household size as three level benchmark, estimation area level benchmarks and estimation area level donor pool used in CO process.</w:t>
      </w:r>
    </w:p>
    <w:tbl>
      <w:tblPr>
        <w:tblStyle w:val="TableGrid"/>
        <w:tblpPr w:leftFromText="180" w:rightFromText="180" w:vertAnchor="text" w:horzAnchor="margin" w:tblpY="60"/>
        <w:tblW w:w="10060" w:type="dxa"/>
        <w:tblInd w:w="0" w:type="dxa"/>
        <w:tblLook w:val="04A0" w:firstRow="1" w:lastRow="0" w:firstColumn="1" w:lastColumn="0" w:noHBand="0" w:noVBand="1"/>
      </w:tblPr>
      <w:tblGrid>
        <w:gridCol w:w="1696"/>
        <w:gridCol w:w="1843"/>
        <w:gridCol w:w="1234"/>
        <w:gridCol w:w="2593"/>
        <w:gridCol w:w="949"/>
        <w:gridCol w:w="1745"/>
      </w:tblGrid>
      <w:tr w:rsidR="00BF399A" w14:paraId="4AC56889" w14:textId="77777777" w:rsidTr="00D308D9">
        <w:tc>
          <w:tcPr>
            <w:tcW w:w="1696" w:type="dxa"/>
            <w:tcBorders>
              <w:bottom w:val="single" w:sz="12" w:space="0" w:color="auto"/>
            </w:tcBorders>
          </w:tcPr>
          <w:p w14:paraId="0F6963FB" w14:textId="77777777" w:rsidR="00BF399A" w:rsidRDefault="00BF399A" w:rsidP="00D308D9">
            <w:bookmarkStart w:id="9" w:name="_Hlk529872992"/>
            <w:r>
              <w:t>Variable</w:t>
            </w:r>
          </w:p>
        </w:tc>
        <w:tc>
          <w:tcPr>
            <w:tcW w:w="1843" w:type="dxa"/>
            <w:tcBorders>
              <w:bottom w:val="single" w:sz="12" w:space="0" w:color="auto"/>
            </w:tcBorders>
          </w:tcPr>
          <w:p w14:paraId="592D47A8" w14:textId="77777777" w:rsidR="00BF399A" w:rsidRDefault="00BF399A" w:rsidP="00D308D9">
            <w:r>
              <w:t>Average CO count over 100 runs</w:t>
            </w:r>
          </w:p>
        </w:tc>
        <w:tc>
          <w:tcPr>
            <w:tcW w:w="1234" w:type="dxa"/>
            <w:tcBorders>
              <w:bottom w:val="single" w:sz="12" w:space="0" w:color="auto"/>
            </w:tcBorders>
          </w:tcPr>
          <w:p w14:paraId="3922F011" w14:textId="77777777" w:rsidR="00BF399A" w:rsidRDefault="00BF399A" w:rsidP="00D308D9">
            <w:r>
              <w:t>Benchmark value</w:t>
            </w:r>
          </w:p>
        </w:tc>
        <w:tc>
          <w:tcPr>
            <w:tcW w:w="2593" w:type="dxa"/>
            <w:tcBorders>
              <w:bottom w:val="single" w:sz="12" w:space="0" w:color="auto"/>
            </w:tcBorders>
          </w:tcPr>
          <w:p w14:paraId="0C609592" w14:textId="77777777" w:rsidR="00BF399A" w:rsidRDefault="00BF399A" w:rsidP="00D308D9">
            <w:r>
              <w:t>Bias (= average of (CO count - benchmark value))</w:t>
            </w:r>
          </w:p>
        </w:tc>
        <w:tc>
          <w:tcPr>
            <w:tcW w:w="949" w:type="dxa"/>
            <w:tcBorders>
              <w:bottom w:val="single" w:sz="12" w:space="0" w:color="auto"/>
            </w:tcBorders>
          </w:tcPr>
          <w:p w14:paraId="7056A9E6" w14:textId="77777777" w:rsidR="00BF399A" w:rsidRDefault="00BF399A" w:rsidP="00D308D9">
            <w:r>
              <w:t>Relative bias</w:t>
            </w:r>
          </w:p>
        </w:tc>
        <w:tc>
          <w:tcPr>
            <w:tcW w:w="1745" w:type="dxa"/>
            <w:tcBorders>
              <w:bottom w:val="single" w:sz="12" w:space="0" w:color="auto"/>
            </w:tcBorders>
          </w:tcPr>
          <w:p w14:paraId="47C0CEAC" w14:textId="77777777" w:rsidR="00BF399A" w:rsidRDefault="00BF399A" w:rsidP="00D308D9">
            <w:r>
              <w:t>95% CI for 100 CO counts</w:t>
            </w:r>
          </w:p>
        </w:tc>
      </w:tr>
      <w:tr w:rsidR="00BF399A" w14:paraId="6CE2355C" w14:textId="77777777" w:rsidTr="00D308D9">
        <w:tc>
          <w:tcPr>
            <w:tcW w:w="1696" w:type="dxa"/>
            <w:tcBorders>
              <w:top w:val="single" w:sz="12" w:space="0" w:color="auto"/>
            </w:tcBorders>
          </w:tcPr>
          <w:p w14:paraId="124837A0" w14:textId="77777777" w:rsidR="00BF399A" w:rsidRPr="003E089F" w:rsidRDefault="00BF399A" w:rsidP="00D308D9">
            <w:pPr>
              <w:rPr>
                <w:b/>
              </w:rPr>
            </w:pPr>
            <w:r>
              <w:rPr>
                <w:b/>
              </w:rPr>
              <w:t>Tenure</w:t>
            </w:r>
          </w:p>
        </w:tc>
        <w:tc>
          <w:tcPr>
            <w:tcW w:w="1843" w:type="dxa"/>
            <w:tcBorders>
              <w:top w:val="single" w:sz="12" w:space="0" w:color="auto"/>
            </w:tcBorders>
          </w:tcPr>
          <w:p w14:paraId="778A9F28" w14:textId="77777777" w:rsidR="00BF399A" w:rsidRDefault="00BF399A" w:rsidP="00D308D9"/>
        </w:tc>
        <w:tc>
          <w:tcPr>
            <w:tcW w:w="1234" w:type="dxa"/>
            <w:tcBorders>
              <w:top w:val="single" w:sz="12" w:space="0" w:color="auto"/>
            </w:tcBorders>
          </w:tcPr>
          <w:p w14:paraId="1C08BDEA" w14:textId="77777777" w:rsidR="00BF399A" w:rsidRDefault="00BF399A" w:rsidP="00D308D9"/>
        </w:tc>
        <w:tc>
          <w:tcPr>
            <w:tcW w:w="2593" w:type="dxa"/>
            <w:tcBorders>
              <w:top w:val="single" w:sz="12" w:space="0" w:color="auto"/>
            </w:tcBorders>
          </w:tcPr>
          <w:p w14:paraId="166A8191" w14:textId="77777777" w:rsidR="00BF399A" w:rsidRDefault="00BF399A" w:rsidP="00D308D9"/>
        </w:tc>
        <w:tc>
          <w:tcPr>
            <w:tcW w:w="949" w:type="dxa"/>
            <w:tcBorders>
              <w:top w:val="single" w:sz="12" w:space="0" w:color="auto"/>
            </w:tcBorders>
          </w:tcPr>
          <w:p w14:paraId="0EF95D10" w14:textId="77777777" w:rsidR="00BF399A" w:rsidRDefault="00BF399A" w:rsidP="00D308D9"/>
        </w:tc>
        <w:tc>
          <w:tcPr>
            <w:tcW w:w="1745" w:type="dxa"/>
            <w:tcBorders>
              <w:top w:val="single" w:sz="12" w:space="0" w:color="auto"/>
            </w:tcBorders>
          </w:tcPr>
          <w:p w14:paraId="0F73E9EF" w14:textId="77777777" w:rsidR="00BF399A" w:rsidRDefault="00BF399A" w:rsidP="00D308D9"/>
        </w:tc>
      </w:tr>
      <w:tr w:rsidR="00BF399A" w14:paraId="1296F7BB" w14:textId="77777777" w:rsidTr="00D308D9">
        <w:tc>
          <w:tcPr>
            <w:tcW w:w="1696" w:type="dxa"/>
          </w:tcPr>
          <w:p w14:paraId="3D260BD3" w14:textId="77777777" w:rsidR="00BF399A" w:rsidRPr="003F70B5" w:rsidRDefault="00BF399A" w:rsidP="00D308D9">
            <w:r>
              <w:t>Owner Occupied</w:t>
            </w:r>
          </w:p>
        </w:tc>
        <w:tc>
          <w:tcPr>
            <w:tcW w:w="1843" w:type="dxa"/>
            <w:vAlign w:val="center"/>
          </w:tcPr>
          <w:p w14:paraId="77A06BCD" w14:textId="77777777" w:rsidR="00BF399A" w:rsidRDefault="00BF399A" w:rsidP="00D308D9">
            <w:pPr>
              <w:jc w:val="right"/>
            </w:pPr>
            <w:r>
              <w:t>102774</w:t>
            </w:r>
          </w:p>
        </w:tc>
        <w:tc>
          <w:tcPr>
            <w:tcW w:w="1234" w:type="dxa"/>
            <w:vAlign w:val="center"/>
          </w:tcPr>
          <w:p w14:paraId="6054829E" w14:textId="77777777" w:rsidR="00BF399A" w:rsidRDefault="00BF399A" w:rsidP="00D308D9">
            <w:pPr>
              <w:jc w:val="right"/>
            </w:pPr>
            <w:r>
              <w:t>102774</w:t>
            </w:r>
          </w:p>
        </w:tc>
        <w:tc>
          <w:tcPr>
            <w:tcW w:w="2593" w:type="dxa"/>
            <w:vAlign w:val="center"/>
          </w:tcPr>
          <w:p w14:paraId="2523DE03" w14:textId="77777777" w:rsidR="00BF399A" w:rsidRDefault="00BF399A" w:rsidP="00D308D9">
            <w:pPr>
              <w:jc w:val="right"/>
            </w:pPr>
            <w:r>
              <w:t>0</w:t>
            </w:r>
          </w:p>
        </w:tc>
        <w:tc>
          <w:tcPr>
            <w:tcW w:w="949" w:type="dxa"/>
            <w:vAlign w:val="center"/>
          </w:tcPr>
          <w:p w14:paraId="6C08E12B" w14:textId="77777777" w:rsidR="00BF399A" w:rsidRDefault="00BF399A" w:rsidP="00D308D9">
            <w:pPr>
              <w:jc w:val="right"/>
            </w:pPr>
            <w:r>
              <w:t>0</w:t>
            </w:r>
          </w:p>
        </w:tc>
        <w:tc>
          <w:tcPr>
            <w:tcW w:w="1745" w:type="dxa"/>
            <w:vAlign w:val="center"/>
          </w:tcPr>
          <w:p w14:paraId="2BB324C9" w14:textId="77777777" w:rsidR="00BF399A" w:rsidRDefault="00BF399A" w:rsidP="00D308D9">
            <w:pPr>
              <w:jc w:val="right"/>
            </w:pPr>
            <w:r>
              <w:t>(102773,102775)</w:t>
            </w:r>
          </w:p>
        </w:tc>
      </w:tr>
      <w:tr w:rsidR="00BF399A" w14:paraId="6650ECE6" w14:textId="77777777" w:rsidTr="00D308D9">
        <w:tc>
          <w:tcPr>
            <w:tcW w:w="1696" w:type="dxa"/>
          </w:tcPr>
          <w:p w14:paraId="44AA8A10" w14:textId="77777777" w:rsidR="00BF399A" w:rsidRPr="00971F91" w:rsidRDefault="00BF399A" w:rsidP="00D308D9">
            <w:r w:rsidRPr="00971F91">
              <w:t>Owns with mortgage or loan</w:t>
            </w:r>
          </w:p>
        </w:tc>
        <w:tc>
          <w:tcPr>
            <w:tcW w:w="1843" w:type="dxa"/>
            <w:vAlign w:val="center"/>
          </w:tcPr>
          <w:p w14:paraId="5D7F6C71" w14:textId="77777777" w:rsidR="00BF399A" w:rsidRDefault="00BF399A" w:rsidP="00D308D9">
            <w:pPr>
              <w:jc w:val="right"/>
            </w:pPr>
            <w:r>
              <w:t>97977</w:t>
            </w:r>
          </w:p>
        </w:tc>
        <w:tc>
          <w:tcPr>
            <w:tcW w:w="1234" w:type="dxa"/>
            <w:vAlign w:val="center"/>
          </w:tcPr>
          <w:p w14:paraId="7C7002B7" w14:textId="77777777" w:rsidR="00BF399A" w:rsidRDefault="00BF399A" w:rsidP="00D308D9">
            <w:pPr>
              <w:jc w:val="right"/>
            </w:pPr>
            <w:r>
              <w:t>97977</w:t>
            </w:r>
          </w:p>
        </w:tc>
        <w:tc>
          <w:tcPr>
            <w:tcW w:w="2593" w:type="dxa"/>
            <w:vAlign w:val="center"/>
          </w:tcPr>
          <w:p w14:paraId="7025143F" w14:textId="77777777" w:rsidR="00BF399A" w:rsidRDefault="00BF399A" w:rsidP="00D308D9">
            <w:pPr>
              <w:jc w:val="right"/>
            </w:pPr>
            <w:r>
              <w:t>0</w:t>
            </w:r>
          </w:p>
        </w:tc>
        <w:tc>
          <w:tcPr>
            <w:tcW w:w="949" w:type="dxa"/>
            <w:vAlign w:val="center"/>
          </w:tcPr>
          <w:p w14:paraId="5986B922" w14:textId="77777777" w:rsidR="00BF399A" w:rsidRDefault="00BF399A" w:rsidP="00D308D9">
            <w:pPr>
              <w:jc w:val="right"/>
            </w:pPr>
            <w:r>
              <w:t>0</w:t>
            </w:r>
          </w:p>
        </w:tc>
        <w:tc>
          <w:tcPr>
            <w:tcW w:w="1745" w:type="dxa"/>
            <w:vAlign w:val="center"/>
          </w:tcPr>
          <w:p w14:paraId="20793E1F" w14:textId="77777777" w:rsidR="00BF399A" w:rsidRDefault="00BF399A" w:rsidP="00D308D9">
            <w:pPr>
              <w:jc w:val="right"/>
            </w:pPr>
            <w:r>
              <w:t>(97976,97978)</w:t>
            </w:r>
          </w:p>
        </w:tc>
      </w:tr>
      <w:tr w:rsidR="00BF399A" w14:paraId="41617060" w14:textId="77777777" w:rsidTr="00D308D9">
        <w:tc>
          <w:tcPr>
            <w:tcW w:w="1696" w:type="dxa"/>
          </w:tcPr>
          <w:p w14:paraId="499D11E4" w14:textId="77777777" w:rsidR="00BF399A" w:rsidRPr="00971F91" w:rsidRDefault="00BF399A" w:rsidP="00D308D9">
            <w:r>
              <w:t>Shared ownership</w:t>
            </w:r>
          </w:p>
        </w:tc>
        <w:tc>
          <w:tcPr>
            <w:tcW w:w="1843" w:type="dxa"/>
            <w:vAlign w:val="center"/>
          </w:tcPr>
          <w:p w14:paraId="29C4259B" w14:textId="77777777" w:rsidR="00BF399A" w:rsidRDefault="00BF399A" w:rsidP="00D308D9">
            <w:pPr>
              <w:jc w:val="right"/>
            </w:pPr>
            <w:r>
              <w:t>1226</w:t>
            </w:r>
          </w:p>
        </w:tc>
        <w:tc>
          <w:tcPr>
            <w:tcW w:w="1234" w:type="dxa"/>
            <w:vAlign w:val="center"/>
          </w:tcPr>
          <w:p w14:paraId="64E3739D" w14:textId="77777777" w:rsidR="00BF399A" w:rsidRDefault="00BF399A" w:rsidP="00D308D9">
            <w:pPr>
              <w:jc w:val="right"/>
            </w:pPr>
            <w:r>
              <w:t>1226</w:t>
            </w:r>
          </w:p>
        </w:tc>
        <w:tc>
          <w:tcPr>
            <w:tcW w:w="2593" w:type="dxa"/>
            <w:vAlign w:val="center"/>
          </w:tcPr>
          <w:p w14:paraId="04D732BE" w14:textId="77777777" w:rsidR="00BF399A" w:rsidRDefault="00BF399A" w:rsidP="00D308D9">
            <w:pPr>
              <w:jc w:val="right"/>
            </w:pPr>
            <w:r>
              <w:t>0</w:t>
            </w:r>
          </w:p>
        </w:tc>
        <w:tc>
          <w:tcPr>
            <w:tcW w:w="949" w:type="dxa"/>
            <w:vAlign w:val="center"/>
          </w:tcPr>
          <w:p w14:paraId="4EC25B4B" w14:textId="77777777" w:rsidR="00BF399A" w:rsidRDefault="00BF399A" w:rsidP="00D308D9">
            <w:pPr>
              <w:jc w:val="right"/>
            </w:pPr>
            <w:r>
              <w:t>0</w:t>
            </w:r>
          </w:p>
        </w:tc>
        <w:tc>
          <w:tcPr>
            <w:tcW w:w="1745" w:type="dxa"/>
            <w:vAlign w:val="center"/>
          </w:tcPr>
          <w:p w14:paraId="113535E6" w14:textId="77777777" w:rsidR="00BF399A" w:rsidRDefault="00BF399A" w:rsidP="00D308D9">
            <w:pPr>
              <w:jc w:val="right"/>
            </w:pPr>
            <w:r>
              <w:t>(1224,1227)</w:t>
            </w:r>
          </w:p>
        </w:tc>
      </w:tr>
      <w:tr w:rsidR="00BF399A" w14:paraId="14D1AF9B" w14:textId="77777777" w:rsidTr="00D308D9">
        <w:tc>
          <w:tcPr>
            <w:tcW w:w="1696" w:type="dxa"/>
          </w:tcPr>
          <w:p w14:paraId="5220F914" w14:textId="77777777" w:rsidR="00BF399A" w:rsidRPr="00971F91" w:rsidRDefault="00BF399A" w:rsidP="00D308D9">
            <w:r>
              <w:t>Renting</w:t>
            </w:r>
          </w:p>
        </w:tc>
        <w:tc>
          <w:tcPr>
            <w:tcW w:w="1843" w:type="dxa"/>
            <w:vAlign w:val="center"/>
          </w:tcPr>
          <w:p w14:paraId="560044D0" w14:textId="77777777" w:rsidR="00BF399A" w:rsidRDefault="00BF399A" w:rsidP="00D308D9">
            <w:pPr>
              <w:jc w:val="right"/>
            </w:pPr>
            <w:r>
              <w:t>78138</w:t>
            </w:r>
          </w:p>
        </w:tc>
        <w:tc>
          <w:tcPr>
            <w:tcW w:w="1234" w:type="dxa"/>
            <w:vAlign w:val="center"/>
          </w:tcPr>
          <w:p w14:paraId="635CC384" w14:textId="77777777" w:rsidR="00BF399A" w:rsidRDefault="00BF399A" w:rsidP="00D308D9">
            <w:pPr>
              <w:jc w:val="right"/>
            </w:pPr>
            <w:r>
              <w:t>78138</w:t>
            </w:r>
          </w:p>
        </w:tc>
        <w:tc>
          <w:tcPr>
            <w:tcW w:w="2593" w:type="dxa"/>
            <w:vAlign w:val="center"/>
          </w:tcPr>
          <w:p w14:paraId="78C584A1" w14:textId="77777777" w:rsidR="00BF399A" w:rsidRDefault="00BF399A" w:rsidP="00D308D9">
            <w:pPr>
              <w:jc w:val="right"/>
            </w:pPr>
            <w:r>
              <w:t>0</w:t>
            </w:r>
          </w:p>
        </w:tc>
        <w:tc>
          <w:tcPr>
            <w:tcW w:w="949" w:type="dxa"/>
            <w:vAlign w:val="center"/>
          </w:tcPr>
          <w:p w14:paraId="4C7E00FC" w14:textId="77777777" w:rsidR="00BF399A" w:rsidRDefault="00BF399A" w:rsidP="00D308D9">
            <w:pPr>
              <w:jc w:val="right"/>
            </w:pPr>
            <w:r>
              <w:t>0</w:t>
            </w:r>
          </w:p>
        </w:tc>
        <w:tc>
          <w:tcPr>
            <w:tcW w:w="1745" w:type="dxa"/>
            <w:vAlign w:val="center"/>
          </w:tcPr>
          <w:p w14:paraId="18F89DFD" w14:textId="77777777" w:rsidR="00BF399A" w:rsidRDefault="00BF399A" w:rsidP="00D308D9">
            <w:pPr>
              <w:jc w:val="right"/>
            </w:pPr>
            <w:r>
              <w:t>(78137,78139)</w:t>
            </w:r>
          </w:p>
        </w:tc>
      </w:tr>
      <w:tr w:rsidR="00BF399A" w14:paraId="5E8655F0" w14:textId="77777777" w:rsidTr="00D308D9">
        <w:tc>
          <w:tcPr>
            <w:tcW w:w="1696" w:type="dxa"/>
          </w:tcPr>
          <w:p w14:paraId="4B4A85BB" w14:textId="77777777" w:rsidR="00BF399A" w:rsidRPr="00971F91" w:rsidRDefault="00BF399A" w:rsidP="00D308D9">
            <w:r>
              <w:t>Rent free</w:t>
            </w:r>
          </w:p>
        </w:tc>
        <w:tc>
          <w:tcPr>
            <w:tcW w:w="1843" w:type="dxa"/>
            <w:vAlign w:val="center"/>
          </w:tcPr>
          <w:p w14:paraId="04F92829" w14:textId="77777777" w:rsidR="00BF399A" w:rsidRDefault="00BF399A" w:rsidP="00D308D9">
            <w:pPr>
              <w:jc w:val="right"/>
            </w:pPr>
            <w:r>
              <w:t>3847</w:t>
            </w:r>
          </w:p>
        </w:tc>
        <w:tc>
          <w:tcPr>
            <w:tcW w:w="1234" w:type="dxa"/>
            <w:vAlign w:val="center"/>
          </w:tcPr>
          <w:p w14:paraId="65865C79" w14:textId="77777777" w:rsidR="00BF399A" w:rsidRDefault="00BF399A" w:rsidP="00D308D9">
            <w:pPr>
              <w:jc w:val="right"/>
            </w:pPr>
            <w:r>
              <w:t>3847</w:t>
            </w:r>
          </w:p>
        </w:tc>
        <w:tc>
          <w:tcPr>
            <w:tcW w:w="2593" w:type="dxa"/>
            <w:vAlign w:val="center"/>
          </w:tcPr>
          <w:p w14:paraId="6E9674E8" w14:textId="77777777" w:rsidR="00BF399A" w:rsidRDefault="00BF399A" w:rsidP="00D308D9">
            <w:pPr>
              <w:jc w:val="right"/>
            </w:pPr>
            <w:r>
              <w:t>0</w:t>
            </w:r>
          </w:p>
        </w:tc>
        <w:tc>
          <w:tcPr>
            <w:tcW w:w="949" w:type="dxa"/>
            <w:vAlign w:val="center"/>
          </w:tcPr>
          <w:p w14:paraId="1D0FD827" w14:textId="77777777" w:rsidR="00BF399A" w:rsidRDefault="00BF399A" w:rsidP="00D308D9">
            <w:pPr>
              <w:jc w:val="right"/>
            </w:pPr>
            <w:r>
              <w:t>0</w:t>
            </w:r>
          </w:p>
        </w:tc>
        <w:tc>
          <w:tcPr>
            <w:tcW w:w="1745" w:type="dxa"/>
            <w:vAlign w:val="center"/>
          </w:tcPr>
          <w:p w14:paraId="03E40AFE" w14:textId="77777777" w:rsidR="00BF399A" w:rsidRDefault="00BF399A" w:rsidP="00D308D9">
            <w:pPr>
              <w:jc w:val="right"/>
            </w:pPr>
            <w:r>
              <w:t>(3846,3848)</w:t>
            </w:r>
          </w:p>
        </w:tc>
      </w:tr>
      <w:tr w:rsidR="00BF399A" w14:paraId="56714AD8" w14:textId="77777777" w:rsidTr="00D308D9">
        <w:tc>
          <w:tcPr>
            <w:tcW w:w="1696" w:type="dxa"/>
          </w:tcPr>
          <w:p w14:paraId="629BC3B5" w14:textId="77777777" w:rsidR="00BF399A" w:rsidRPr="00605D6B" w:rsidRDefault="00BF399A" w:rsidP="00D308D9">
            <w:pPr>
              <w:rPr>
                <w:b/>
              </w:rPr>
            </w:pPr>
            <w:r w:rsidRPr="00605D6B">
              <w:rPr>
                <w:b/>
              </w:rPr>
              <w:t>Household size</w:t>
            </w:r>
          </w:p>
        </w:tc>
        <w:tc>
          <w:tcPr>
            <w:tcW w:w="1843" w:type="dxa"/>
            <w:vAlign w:val="center"/>
          </w:tcPr>
          <w:p w14:paraId="0CAFE9B3" w14:textId="77777777" w:rsidR="00BF399A" w:rsidRDefault="00BF399A" w:rsidP="00D308D9">
            <w:pPr>
              <w:jc w:val="right"/>
            </w:pPr>
          </w:p>
        </w:tc>
        <w:tc>
          <w:tcPr>
            <w:tcW w:w="1234" w:type="dxa"/>
            <w:vAlign w:val="center"/>
          </w:tcPr>
          <w:p w14:paraId="53A51D91" w14:textId="77777777" w:rsidR="00BF399A" w:rsidRDefault="00BF399A" w:rsidP="00D308D9">
            <w:pPr>
              <w:jc w:val="right"/>
            </w:pPr>
          </w:p>
        </w:tc>
        <w:tc>
          <w:tcPr>
            <w:tcW w:w="2593" w:type="dxa"/>
            <w:vAlign w:val="center"/>
          </w:tcPr>
          <w:p w14:paraId="006C1D98" w14:textId="77777777" w:rsidR="00BF399A" w:rsidRDefault="00BF399A" w:rsidP="00D308D9">
            <w:pPr>
              <w:jc w:val="right"/>
            </w:pPr>
          </w:p>
        </w:tc>
        <w:tc>
          <w:tcPr>
            <w:tcW w:w="949" w:type="dxa"/>
            <w:vAlign w:val="center"/>
          </w:tcPr>
          <w:p w14:paraId="4EB8027F" w14:textId="77777777" w:rsidR="00BF399A" w:rsidRDefault="00BF399A" w:rsidP="00D308D9">
            <w:pPr>
              <w:jc w:val="right"/>
            </w:pPr>
          </w:p>
        </w:tc>
        <w:tc>
          <w:tcPr>
            <w:tcW w:w="1745" w:type="dxa"/>
            <w:vAlign w:val="center"/>
          </w:tcPr>
          <w:p w14:paraId="04449769" w14:textId="77777777" w:rsidR="00BF399A" w:rsidRDefault="00BF399A" w:rsidP="00D308D9">
            <w:pPr>
              <w:jc w:val="right"/>
            </w:pPr>
          </w:p>
        </w:tc>
      </w:tr>
      <w:tr w:rsidR="00BF399A" w14:paraId="123DB46D" w14:textId="77777777" w:rsidTr="00D308D9">
        <w:tc>
          <w:tcPr>
            <w:tcW w:w="1696" w:type="dxa"/>
          </w:tcPr>
          <w:p w14:paraId="5351270B" w14:textId="77777777" w:rsidR="00BF399A" w:rsidRPr="00971F91" w:rsidRDefault="00BF399A" w:rsidP="00D308D9">
            <w:r>
              <w:t>1</w:t>
            </w:r>
          </w:p>
        </w:tc>
        <w:tc>
          <w:tcPr>
            <w:tcW w:w="1843" w:type="dxa"/>
            <w:vAlign w:val="center"/>
          </w:tcPr>
          <w:p w14:paraId="6B53C462" w14:textId="77777777" w:rsidR="00BF399A" w:rsidRDefault="00BF399A" w:rsidP="00D308D9">
            <w:pPr>
              <w:jc w:val="right"/>
            </w:pPr>
            <w:r>
              <w:t>81862</w:t>
            </w:r>
          </w:p>
        </w:tc>
        <w:tc>
          <w:tcPr>
            <w:tcW w:w="1234" w:type="dxa"/>
            <w:vAlign w:val="center"/>
          </w:tcPr>
          <w:p w14:paraId="07A1D951" w14:textId="77777777" w:rsidR="00BF399A" w:rsidRDefault="00BF399A" w:rsidP="00D308D9">
            <w:pPr>
              <w:jc w:val="right"/>
            </w:pPr>
            <w:r>
              <w:t>81862</w:t>
            </w:r>
          </w:p>
        </w:tc>
        <w:tc>
          <w:tcPr>
            <w:tcW w:w="2593" w:type="dxa"/>
            <w:vAlign w:val="center"/>
          </w:tcPr>
          <w:p w14:paraId="671AB9B0" w14:textId="77777777" w:rsidR="00BF399A" w:rsidRDefault="00BF399A" w:rsidP="00D308D9">
            <w:pPr>
              <w:jc w:val="right"/>
            </w:pPr>
            <w:r>
              <w:t>0</w:t>
            </w:r>
          </w:p>
        </w:tc>
        <w:tc>
          <w:tcPr>
            <w:tcW w:w="949" w:type="dxa"/>
            <w:vAlign w:val="center"/>
          </w:tcPr>
          <w:p w14:paraId="075276CC" w14:textId="77777777" w:rsidR="00BF399A" w:rsidRDefault="00BF399A" w:rsidP="00D308D9">
            <w:pPr>
              <w:jc w:val="right"/>
            </w:pPr>
            <w:r>
              <w:t>0</w:t>
            </w:r>
          </w:p>
        </w:tc>
        <w:tc>
          <w:tcPr>
            <w:tcW w:w="1745" w:type="dxa"/>
            <w:vAlign w:val="center"/>
          </w:tcPr>
          <w:p w14:paraId="01A42C22" w14:textId="77777777" w:rsidR="00BF399A" w:rsidRDefault="00BF399A" w:rsidP="00D308D9">
            <w:pPr>
              <w:jc w:val="right"/>
            </w:pPr>
            <w:r>
              <w:t>(81681, 81683)</w:t>
            </w:r>
          </w:p>
        </w:tc>
      </w:tr>
      <w:tr w:rsidR="00BF399A" w14:paraId="3CD0BD2B" w14:textId="77777777" w:rsidTr="00D308D9">
        <w:tc>
          <w:tcPr>
            <w:tcW w:w="1696" w:type="dxa"/>
          </w:tcPr>
          <w:p w14:paraId="643F632F" w14:textId="77777777" w:rsidR="00BF399A" w:rsidRPr="00971F91" w:rsidRDefault="00BF399A" w:rsidP="00D308D9">
            <w:r>
              <w:t>2</w:t>
            </w:r>
          </w:p>
        </w:tc>
        <w:tc>
          <w:tcPr>
            <w:tcW w:w="1843" w:type="dxa"/>
            <w:vAlign w:val="center"/>
          </w:tcPr>
          <w:p w14:paraId="6ECCE025" w14:textId="77777777" w:rsidR="00BF399A" w:rsidRDefault="00BF399A" w:rsidP="00D308D9">
            <w:pPr>
              <w:jc w:val="right"/>
            </w:pPr>
            <w:r>
              <w:t>107079</w:t>
            </w:r>
          </w:p>
        </w:tc>
        <w:tc>
          <w:tcPr>
            <w:tcW w:w="1234" w:type="dxa"/>
            <w:vAlign w:val="center"/>
          </w:tcPr>
          <w:p w14:paraId="44BFDA56" w14:textId="77777777" w:rsidR="00BF399A" w:rsidRDefault="00BF399A" w:rsidP="00D308D9">
            <w:pPr>
              <w:jc w:val="right"/>
            </w:pPr>
            <w:r>
              <w:t>107079</w:t>
            </w:r>
          </w:p>
        </w:tc>
        <w:tc>
          <w:tcPr>
            <w:tcW w:w="2593" w:type="dxa"/>
            <w:vAlign w:val="center"/>
          </w:tcPr>
          <w:p w14:paraId="0F27E87E" w14:textId="77777777" w:rsidR="00BF399A" w:rsidRDefault="00BF399A" w:rsidP="00D308D9">
            <w:pPr>
              <w:jc w:val="right"/>
            </w:pPr>
            <w:r>
              <w:t>0</w:t>
            </w:r>
          </w:p>
        </w:tc>
        <w:tc>
          <w:tcPr>
            <w:tcW w:w="949" w:type="dxa"/>
            <w:vAlign w:val="center"/>
          </w:tcPr>
          <w:p w14:paraId="090ED5AF" w14:textId="77777777" w:rsidR="00BF399A" w:rsidRDefault="00BF399A" w:rsidP="00D308D9">
            <w:pPr>
              <w:jc w:val="right"/>
            </w:pPr>
            <w:r>
              <w:t>0</w:t>
            </w:r>
          </w:p>
        </w:tc>
        <w:tc>
          <w:tcPr>
            <w:tcW w:w="1745" w:type="dxa"/>
            <w:vAlign w:val="center"/>
          </w:tcPr>
          <w:p w14:paraId="19285EFD" w14:textId="77777777" w:rsidR="00BF399A" w:rsidRDefault="00BF399A" w:rsidP="00D308D9">
            <w:pPr>
              <w:jc w:val="right"/>
            </w:pPr>
            <w:r>
              <w:t>(107078,107080)</w:t>
            </w:r>
          </w:p>
        </w:tc>
      </w:tr>
      <w:tr w:rsidR="00BF399A" w14:paraId="79C6B10E" w14:textId="77777777" w:rsidTr="00D308D9">
        <w:tc>
          <w:tcPr>
            <w:tcW w:w="1696" w:type="dxa"/>
          </w:tcPr>
          <w:p w14:paraId="2EF5E95F" w14:textId="77777777" w:rsidR="00BF399A" w:rsidRDefault="00BF399A" w:rsidP="00D308D9">
            <w:r>
              <w:t>3+</w:t>
            </w:r>
          </w:p>
        </w:tc>
        <w:tc>
          <w:tcPr>
            <w:tcW w:w="1843" w:type="dxa"/>
            <w:vAlign w:val="center"/>
          </w:tcPr>
          <w:p w14:paraId="2B06B7AE" w14:textId="77777777" w:rsidR="00BF399A" w:rsidRDefault="00BF399A" w:rsidP="00D308D9">
            <w:pPr>
              <w:jc w:val="right"/>
            </w:pPr>
            <w:r>
              <w:t>95201</w:t>
            </w:r>
          </w:p>
        </w:tc>
        <w:tc>
          <w:tcPr>
            <w:tcW w:w="1234" w:type="dxa"/>
            <w:vAlign w:val="center"/>
          </w:tcPr>
          <w:p w14:paraId="3BC163B4" w14:textId="77777777" w:rsidR="00BF399A" w:rsidRDefault="00BF399A" w:rsidP="00D308D9">
            <w:pPr>
              <w:jc w:val="right"/>
            </w:pPr>
            <w:r>
              <w:t>95201</w:t>
            </w:r>
          </w:p>
        </w:tc>
        <w:tc>
          <w:tcPr>
            <w:tcW w:w="2593" w:type="dxa"/>
            <w:vAlign w:val="center"/>
          </w:tcPr>
          <w:p w14:paraId="051AD3E6" w14:textId="77777777" w:rsidR="00BF399A" w:rsidRDefault="00BF399A" w:rsidP="00D308D9">
            <w:pPr>
              <w:jc w:val="right"/>
            </w:pPr>
            <w:r>
              <w:t>0</w:t>
            </w:r>
          </w:p>
        </w:tc>
        <w:tc>
          <w:tcPr>
            <w:tcW w:w="949" w:type="dxa"/>
            <w:vAlign w:val="center"/>
          </w:tcPr>
          <w:p w14:paraId="713FDA6B" w14:textId="77777777" w:rsidR="00BF399A" w:rsidRDefault="00BF399A" w:rsidP="00D308D9">
            <w:pPr>
              <w:jc w:val="right"/>
            </w:pPr>
            <w:r>
              <w:t>0</w:t>
            </w:r>
          </w:p>
        </w:tc>
        <w:tc>
          <w:tcPr>
            <w:tcW w:w="1745" w:type="dxa"/>
            <w:vAlign w:val="center"/>
          </w:tcPr>
          <w:p w14:paraId="39AB4018" w14:textId="77777777" w:rsidR="00BF399A" w:rsidRDefault="00BF399A" w:rsidP="00D308D9">
            <w:pPr>
              <w:jc w:val="right"/>
            </w:pPr>
            <w:r>
              <w:t>(95200,95202)</w:t>
            </w:r>
          </w:p>
        </w:tc>
      </w:tr>
      <w:tr w:rsidR="00BF399A" w14:paraId="0A69F77E" w14:textId="77777777" w:rsidTr="00D308D9">
        <w:tc>
          <w:tcPr>
            <w:tcW w:w="1696" w:type="dxa"/>
          </w:tcPr>
          <w:p w14:paraId="56836C35" w14:textId="77777777" w:rsidR="00BF399A" w:rsidRPr="006E2B67" w:rsidRDefault="00BF399A" w:rsidP="00D308D9">
            <w:pPr>
              <w:rPr>
                <w:b/>
              </w:rPr>
            </w:pPr>
            <w:r>
              <w:rPr>
                <w:b/>
              </w:rPr>
              <w:t>Hard to count INDEX (lower = easier to count)</w:t>
            </w:r>
          </w:p>
        </w:tc>
        <w:tc>
          <w:tcPr>
            <w:tcW w:w="1843" w:type="dxa"/>
            <w:vAlign w:val="center"/>
          </w:tcPr>
          <w:p w14:paraId="0ADB0C7E" w14:textId="77777777" w:rsidR="00BF399A" w:rsidRDefault="00BF399A" w:rsidP="00D308D9">
            <w:pPr>
              <w:jc w:val="right"/>
            </w:pPr>
          </w:p>
        </w:tc>
        <w:tc>
          <w:tcPr>
            <w:tcW w:w="1234" w:type="dxa"/>
            <w:vAlign w:val="center"/>
          </w:tcPr>
          <w:p w14:paraId="107AEC15" w14:textId="77777777" w:rsidR="00BF399A" w:rsidRDefault="00BF399A" w:rsidP="00D308D9">
            <w:pPr>
              <w:jc w:val="right"/>
            </w:pPr>
          </w:p>
        </w:tc>
        <w:tc>
          <w:tcPr>
            <w:tcW w:w="2593" w:type="dxa"/>
            <w:vAlign w:val="center"/>
          </w:tcPr>
          <w:p w14:paraId="56BF9ED8" w14:textId="77777777" w:rsidR="00BF399A" w:rsidRDefault="00BF399A" w:rsidP="00D308D9">
            <w:pPr>
              <w:jc w:val="right"/>
            </w:pPr>
          </w:p>
        </w:tc>
        <w:tc>
          <w:tcPr>
            <w:tcW w:w="949" w:type="dxa"/>
            <w:vAlign w:val="center"/>
          </w:tcPr>
          <w:p w14:paraId="103DADAC" w14:textId="77777777" w:rsidR="00BF399A" w:rsidRDefault="00BF399A" w:rsidP="00D308D9">
            <w:pPr>
              <w:jc w:val="right"/>
            </w:pPr>
          </w:p>
        </w:tc>
        <w:tc>
          <w:tcPr>
            <w:tcW w:w="1745" w:type="dxa"/>
            <w:vAlign w:val="center"/>
          </w:tcPr>
          <w:p w14:paraId="293C53DC" w14:textId="77777777" w:rsidR="00BF399A" w:rsidRDefault="00BF399A" w:rsidP="00D308D9">
            <w:pPr>
              <w:jc w:val="right"/>
            </w:pPr>
          </w:p>
        </w:tc>
      </w:tr>
      <w:tr w:rsidR="00BF399A" w14:paraId="08DB46B6" w14:textId="77777777" w:rsidTr="00D308D9">
        <w:tc>
          <w:tcPr>
            <w:tcW w:w="1696" w:type="dxa"/>
          </w:tcPr>
          <w:p w14:paraId="1E4844B6" w14:textId="77777777" w:rsidR="00BF399A" w:rsidRDefault="00BF399A" w:rsidP="00D308D9">
            <w:r>
              <w:t>1</w:t>
            </w:r>
          </w:p>
        </w:tc>
        <w:tc>
          <w:tcPr>
            <w:tcW w:w="1843" w:type="dxa"/>
            <w:vAlign w:val="center"/>
          </w:tcPr>
          <w:p w14:paraId="5580CCD6" w14:textId="77777777" w:rsidR="00BF399A" w:rsidRDefault="00BF399A" w:rsidP="00D308D9">
            <w:pPr>
              <w:jc w:val="right"/>
            </w:pPr>
            <w:r>
              <w:t>203797</w:t>
            </w:r>
          </w:p>
        </w:tc>
        <w:tc>
          <w:tcPr>
            <w:tcW w:w="1234" w:type="dxa"/>
            <w:vAlign w:val="center"/>
          </w:tcPr>
          <w:p w14:paraId="493F1BF6" w14:textId="77777777" w:rsidR="00BF399A" w:rsidRDefault="00BF399A" w:rsidP="00D308D9">
            <w:pPr>
              <w:jc w:val="right"/>
            </w:pPr>
            <w:r>
              <w:t>203797</w:t>
            </w:r>
          </w:p>
        </w:tc>
        <w:tc>
          <w:tcPr>
            <w:tcW w:w="2593" w:type="dxa"/>
            <w:vAlign w:val="center"/>
          </w:tcPr>
          <w:p w14:paraId="15208DA1" w14:textId="77777777" w:rsidR="00BF399A" w:rsidRDefault="00BF399A" w:rsidP="00D308D9">
            <w:pPr>
              <w:jc w:val="right"/>
            </w:pPr>
            <w:r>
              <w:t>0</w:t>
            </w:r>
          </w:p>
        </w:tc>
        <w:tc>
          <w:tcPr>
            <w:tcW w:w="949" w:type="dxa"/>
            <w:vAlign w:val="center"/>
          </w:tcPr>
          <w:p w14:paraId="1CE60420" w14:textId="77777777" w:rsidR="00BF399A" w:rsidRDefault="00BF399A" w:rsidP="00D308D9">
            <w:pPr>
              <w:jc w:val="right"/>
            </w:pPr>
            <w:r>
              <w:t>0</w:t>
            </w:r>
          </w:p>
        </w:tc>
        <w:tc>
          <w:tcPr>
            <w:tcW w:w="1745" w:type="dxa"/>
            <w:vAlign w:val="center"/>
          </w:tcPr>
          <w:p w14:paraId="3F3900AA" w14:textId="77777777" w:rsidR="00BF399A" w:rsidRDefault="00BF399A" w:rsidP="00D308D9">
            <w:pPr>
              <w:jc w:val="right"/>
            </w:pPr>
            <w:r>
              <w:t>(203796,203797)</w:t>
            </w:r>
          </w:p>
        </w:tc>
      </w:tr>
      <w:tr w:rsidR="00BF399A" w14:paraId="21B2112F" w14:textId="77777777" w:rsidTr="00D308D9">
        <w:tc>
          <w:tcPr>
            <w:tcW w:w="1696" w:type="dxa"/>
          </w:tcPr>
          <w:p w14:paraId="5F347C7F" w14:textId="77777777" w:rsidR="00BF399A" w:rsidRDefault="00BF399A" w:rsidP="00D308D9">
            <w:r>
              <w:t>2</w:t>
            </w:r>
          </w:p>
        </w:tc>
        <w:tc>
          <w:tcPr>
            <w:tcW w:w="1843" w:type="dxa"/>
            <w:vAlign w:val="center"/>
          </w:tcPr>
          <w:p w14:paraId="7B98FFCE" w14:textId="77777777" w:rsidR="00BF399A" w:rsidRDefault="00BF399A" w:rsidP="00D308D9">
            <w:pPr>
              <w:jc w:val="right"/>
            </w:pPr>
            <w:r>
              <w:t>80165</w:t>
            </w:r>
          </w:p>
        </w:tc>
        <w:tc>
          <w:tcPr>
            <w:tcW w:w="1234" w:type="dxa"/>
            <w:vAlign w:val="center"/>
          </w:tcPr>
          <w:p w14:paraId="379A82B7" w14:textId="77777777" w:rsidR="00BF399A" w:rsidRDefault="00BF399A" w:rsidP="00D308D9">
            <w:pPr>
              <w:jc w:val="right"/>
            </w:pPr>
            <w:r>
              <w:t>80165</w:t>
            </w:r>
          </w:p>
        </w:tc>
        <w:tc>
          <w:tcPr>
            <w:tcW w:w="2593" w:type="dxa"/>
            <w:vAlign w:val="center"/>
          </w:tcPr>
          <w:p w14:paraId="3D956A24" w14:textId="77777777" w:rsidR="00BF399A" w:rsidRDefault="00BF399A" w:rsidP="00D308D9">
            <w:pPr>
              <w:jc w:val="right"/>
            </w:pPr>
            <w:r>
              <w:t>0</w:t>
            </w:r>
          </w:p>
        </w:tc>
        <w:tc>
          <w:tcPr>
            <w:tcW w:w="949" w:type="dxa"/>
            <w:vAlign w:val="center"/>
          </w:tcPr>
          <w:p w14:paraId="2815C1BE" w14:textId="77777777" w:rsidR="00BF399A" w:rsidRDefault="00BF399A" w:rsidP="00D308D9">
            <w:pPr>
              <w:jc w:val="right"/>
            </w:pPr>
            <w:r>
              <w:t>0</w:t>
            </w:r>
          </w:p>
        </w:tc>
        <w:tc>
          <w:tcPr>
            <w:tcW w:w="1745" w:type="dxa"/>
            <w:vAlign w:val="center"/>
          </w:tcPr>
          <w:p w14:paraId="65B6679E" w14:textId="77777777" w:rsidR="00BF399A" w:rsidRDefault="00BF399A" w:rsidP="00D308D9">
            <w:pPr>
              <w:jc w:val="right"/>
            </w:pPr>
            <w:r>
              <w:t>(80165,80166)</w:t>
            </w:r>
          </w:p>
        </w:tc>
      </w:tr>
      <w:tr w:rsidR="00BF399A" w14:paraId="066028DC" w14:textId="77777777" w:rsidTr="00D308D9">
        <w:tc>
          <w:tcPr>
            <w:tcW w:w="1696" w:type="dxa"/>
          </w:tcPr>
          <w:p w14:paraId="474A0A6C" w14:textId="77777777" w:rsidR="00BF399A" w:rsidRPr="003E089F" w:rsidRDefault="00BF399A" w:rsidP="00D308D9">
            <w:pPr>
              <w:rPr>
                <w:b/>
              </w:rPr>
            </w:pPr>
            <w:r w:rsidRPr="003E089F">
              <w:rPr>
                <w:b/>
              </w:rPr>
              <w:t>Ethnicity</w:t>
            </w:r>
          </w:p>
        </w:tc>
        <w:tc>
          <w:tcPr>
            <w:tcW w:w="1843" w:type="dxa"/>
            <w:vAlign w:val="center"/>
          </w:tcPr>
          <w:p w14:paraId="7E7E9C9C" w14:textId="77777777" w:rsidR="00BF399A" w:rsidRDefault="00BF399A" w:rsidP="00D308D9">
            <w:pPr>
              <w:jc w:val="right"/>
            </w:pPr>
          </w:p>
        </w:tc>
        <w:tc>
          <w:tcPr>
            <w:tcW w:w="1234" w:type="dxa"/>
            <w:vAlign w:val="center"/>
          </w:tcPr>
          <w:p w14:paraId="5A4B0288" w14:textId="77777777" w:rsidR="00BF399A" w:rsidRDefault="00BF399A" w:rsidP="00D308D9">
            <w:pPr>
              <w:jc w:val="right"/>
            </w:pPr>
          </w:p>
        </w:tc>
        <w:tc>
          <w:tcPr>
            <w:tcW w:w="2593" w:type="dxa"/>
            <w:vAlign w:val="center"/>
          </w:tcPr>
          <w:p w14:paraId="0AAD10F9" w14:textId="77777777" w:rsidR="00BF399A" w:rsidRDefault="00BF399A" w:rsidP="00D308D9">
            <w:pPr>
              <w:jc w:val="right"/>
            </w:pPr>
          </w:p>
        </w:tc>
        <w:tc>
          <w:tcPr>
            <w:tcW w:w="949" w:type="dxa"/>
            <w:vAlign w:val="center"/>
          </w:tcPr>
          <w:p w14:paraId="2C70D3B6" w14:textId="77777777" w:rsidR="00BF399A" w:rsidRDefault="00BF399A" w:rsidP="00D308D9">
            <w:pPr>
              <w:jc w:val="right"/>
            </w:pPr>
          </w:p>
        </w:tc>
        <w:tc>
          <w:tcPr>
            <w:tcW w:w="1745" w:type="dxa"/>
            <w:vAlign w:val="center"/>
          </w:tcPr>
          <w:p w14:paraId="7F76A9E1" w14:textId="77777777" w:rsidR="00BF399A" w:rsidRDefault="00BF399A" w:rsidP="00D308D9">
            <w:pPr>
              <w:jc w:val="right"/>
            </w:pPr>
          </w:p>
        </w:tc>
      </w:tr>
      <w:tr w:rsidR="00BF399A" w14:paraId="2F26D342" w14:textId="77777777" w:rsidTr="00D308D9">
        <w:tc>
          <w:tcPr>
            <w:tcW w:w="1696" w:type="dxa"/>
          </w:tcPr>
          <w:p w14:paraId="320C26D0" w14:textId="77777777" w:rsidR="00BF399A" w:rsidRDefault="00BF399A" w:rsidP="00D308D9">
            <w:r>
              <w:t>White</w:t>
            </w:r>
          </w:p>
        </w:tc>
        <w:tc>
          <w:tcPr>
            <w:tcW w:w="1843" w:type="dxa"/>
            <w:vAlign w:val="center"/>
          </w:tcPr>
          <w:p w14:paraId="1739B775" w14:textId="77777777" w:rsidR="00BF399A" w:rsidRDefault="00BF399A" w:rsidP="00D308D9">
            <w:pPr>
              <w:jc w:val="right"/>
            </w:pPr>
            <w:r>
              <w:t>631775</w:t>
            </w:r>
          </w:p>
        </w:tc>
        <w:tc>
          <w:tcPr>
            <w:tcW w:w="1234" w:type="dxa"/>
            <w:vAlign w:val="center"/>
          </w:tcPr>
          <w:p w14:paraId="1C3FB855" w14:textId="77777777" w:rsidR="00BF399A" w:rsidRDefault="00BF399A" w:rsidP="00D308D9">
            <w:pPr>
              <w:jc w:val="right"/>
            </w:pPr>
            <w:r>
              <w:t>631775</w:t>
            </w:r>
          </w:p>
        </w:tc>
        <w:tc>
          <w:tcPr>
            <w:tcW w:w="2593" w:type="dxa"/>
            <w:vAlign w:val="center"/>
          </w:tcPr>
          <w:p w14:paraId="538F4A87" w14:textId="77777777" w:rsidR="00BF399A" w:rsidRDefault="00BF399A" w:rsidP="00D308D9">
            <w:pPr>
              <w:jc w:val="right"/>
            </w:pPr>
            <w:r>
              <w:t>0</w:t>
            </w:r>
          </w:p>
        </w:tc>
        <w:tc>
          <w:tcPr>
            <w:tcW w:w="949" w:type="dxa"/>
            <w:vAlign w:val="center"/>
          </w:tcPr>
          <w:p w14:paraId="3B2AF8FB" w14:textId="77777777" w:rsidR="00BF399A" w:rsidRDefault="00BF399A" w:rsidP="00D308D9">
            <w:pPr>
              <w:jc w:val="right"/>
            </w:pPr>
            <w:r>
              <w:t>0</w:t>
            </w:r>
          </w:p>
        </w:tc>
        <w:tc>
          <w:tcPr>
            <w:tcW w:w="1745" w:type="dxa"/>
            <w:vAlign w:val="center"/>
          </w:tcPr>
          <w:p w14:paraId="7A9E8A26" w14:textId="77777777" w:rsidR="00BF399A" w:rsidRDefault="00BF399A" w:rsidP="00D308D9">
            <w:pPr>
              <w:jc w:val="right"/>
            </w:pPr>
            <w:r>
              <w:t>(631774,631777)</w:t>
            </w:r>
          </w:p>
        </w:tc>
      </w:tr>
      <w:tr w:rsidR="00BF399A" w14:paraId="16507EB3" w14:textId="77777777" w:rsidTr="00D308D9">
        <w:tc>
          <w:tcPr>
            <w:tcW w:w="1696" w:type="dxa"/>
          </w:tcPr>
          <w:p w14:paraId="7F8363C3" w14:textId="77777777" w:rsidR="00BF399A" w:rsidRDefault="00BF399A" w:rsidP="00D308D9">
            <w:r>
              <w:t>Mixed</w:t>
            </w:r>
          </w:p>
        </w:tc>
        <w:tc>
          <w:tcPr>
            <w:tcW w:w="1843" w:type="dxa"/>
            <w:vAlign w:val="center"/>
          </w:tcPr>
          <w:p w14:paraId="6E973968" w14:textId="77777777" w:rsidR="00BF399A" w:rsidRDefault="00BF399A" w:rsidP="00D308D9">
            <w:pPr>
              <w:jc w:val="right"/>
            </w:pPr>
            <w:r>
              <w:t>7200</w:t>
            </w:r>
          </w:p>
        </w:tc>
        <w:tc>
          <w:tcPr>
            <w:tcW w:w="1234" w:type="dxa"/>
            <w:vAlign w:val="center"/>
          </w:tcPr>
          <w:p w14:paraId="3A823781" w14:textId="77777777" w:rsidR="00BF399A" w:rsidRDefault="00BF399A" w:rsidP="00D308D9">
            <w:pPr>
              <w:jc w:val="right"/>
            </w:pPr>
            <w:r>
              <w:t>7200</w:t>
            </w:r>
          </w:p>
        </w:tc>
        <w:tc>
          <w:tcPr>
            <w:tcW w:w="2593" w:type="dxa"/>
            <w:vAlign w:val="center"/>
          </w:tcPr>
          <w:p w14:paraId="309818EB" w14:textId="77777777" w:rsidR="00BF399A" w:rsidRDefault="00BF399A" w:rsidP="00D308D9">
            <w:pPr>
              <w:jc w:val="right"/>
            </w:pPr>
            <w:r>
              <w:t>0</w:t>
            </w:r>
          </w:p>
        </w:tc>
        <w:tc>
          <w:tcPr>
            <w:tcW w:w="949" w:type="dxa"/>
            <w:vAlign w:val="center"/>
          </w:tcPr>
          <w:p w14:paraId="5600CD08" w14:textId="77777777" w:rsidR="00BF399A" w:rsidRDefault="00BF399A" w:rsidP="00D308D9">
            <w:pPr>
              <w:jc w:val="right"/>
            </w:pPr>
            <w:r>
              <w:t>0</w:t>
            </w:r>
          </w:p>
        </w:tc>
        <w:tc>
          <w:tcPr>
            <w:tcW w:w="1745" w:type="dxa"/>
            <w:vAlign w:val="center"/>
          </w:tcPr>
          <w:p w14:paraId="77C687B1" w14:textId="77777777" w:rsidR="00BF399A" w:rsidRDefault="00BF399A" w:rsidP="00D308D9">
            <w:pPr>
              <w:jc w:val="right"/>
            </w:pPr>
            <w:r>
              <w:t>(7198,7202)</w:t>
            </w:r>
          </w:p>
        </w:tc>
      </w:tr>
      <w:tr w:rsidR="00BF399A" w14:paraId="5C94604A" w14:textId="77777777" w:rsidTr="00D308D9">
        <w:tc>
          <w:tcPr>
            <w:tcW w:w="1696" w:type="dxa"/>
          </w:tcPr>
          <w:p w14:paraId="291953FF" w14:textId="77777777" w:rsidR="00BF399A" w:rsidRDefault="00BF399A" w:rsidP="00D308D9">
            <w:r>
              <w:t>Asian</w:t>
            </w:r>
          </w:p>
        </w:tc>
        <w:tc>
          <w:tcPr>
            <w:tcW w:w="1843" w:type="dxa"/>
            <w:vAlign w:val="center"/>
          </w:tcPr>
          <w:p w14:paraId="4BB8359A" w14:textId="77777777" w:rsidR="00BF399A" w:rsidRDefault="00BF399A" w:rsidP="00D308D9">
            <w:pPr>
              <w:jc w:val="right"/>
            </w:pPr>
            <w:r>
              <w:t>8161</w:t>
            </w:r>
          </w:p>
        </w:tc>
        <w:tc>
          <w:tcPr>
            <w:tcW w:w="1234" w:type="dxa"/>
            <w:vAlign w:val="center"/>
          </w:tcPr>
          <w:p w14:paraId="74ED3839" w14:textId="77777777" w:rsidR="00BF399A" w:rsidRDefault="00BF399A" w:rsidP="00D308D9">
            <w:pPr>
              <w:jc w:val="right"/>
            </w:pPr>
            <w:r>
              <w:t>8161</w:t>
            </w:r>
          </w:p>
        </w:tc>
        <w:tc>
          <w:tcPr>
            <w:tcW w:w="2593" w:type="dxa"/>
            <w:vAlign w:val="center"/>
          </w:tcPr>
          <w:p w14:paraId="4B92D665" w14:textId="77777777" w:rsidR="00BF399A" w:rsidRDefault="00BF399A" w:rsidP="00D308D9">
            <w:pPr>
              <w:jc w:val="right"/>
            </w:pPr>
            <w:r>
              <w:t>0</w:t>
            </w:r>
          </w:p>
        </w:tc>
        <w:tc>
          <w:tcPr>
            <w:tcW w:w="949" w:type="dxa"/>
            <w:vAlign w:val="center"/>
          </w:tcPr>
          <w:p w14:paraId="5B37CBEA" w14:textId="77777777" w:rsidR="00BF399A" w:rsidRDefault="00BF399A" w:rsidP="00D308D9">
            <w:pPr>
              <w:jc w:val="right"/>
            </w:pPr>
            <w:r>
              <w:t>0</w:t>
            </w:r>
          </w:p>
        </w:tc>
        <w:tc>
          <w:tcPr>
            <w:tcW w:w="1745" w:type="dxa"/>
            <w:vAlign w:val="center"/>
          </w:tcPr>
          <w:p w14:paraId="0696A714" w14:textId="77777777" w:rsidR="00BF399A" w:rsidRDefault="00BF399A" w:rsidP="00D308D9">
            <w:pPr>
              <w:jc w:val="right"/>
            </w:pPr>
            <w:r>
              <w:t>(8159,8163)</w:t>
            </w:r>
          </w:p>
        </w:tc>
      </w:tr>
      <w:tr w:rsidR="00BF399A" w14:paraId="001E7762" w14:textId="77777777" w:rsidTr="00D308D9">
        <w:tc>
          <w:tcPr>
            <w:tcW w:w="1696" w:type="dxa"/>
          </w:tcPr>
          <w:p w14:paraId="433ECF4C" w14:textId="77777777" w:rsidR="00BF399A" w:rsidRDefault="00BF399A" w:rsidP="00D308D9">
            <w:r>
              <w:t>Black</w:t>
            </w:r>
          </w:p>
        </w:tc>
        <w:tc>
          <w:tcPr>
            <w:tcW w:w="1843" w:type="dxa"/>
            <w:vAlign w:val="center"/>
          </w:tcPr>
          <w:p w14:paraId="5BA37D56" w14:textId="77777777" w:rsidR="00BF399A" w:rsidRDefault="00BF399A" w:rsidP="00D308D9">
            <w:pPr>
              <w:jc w:val="right"/>
            </w:pPr>
            <w:r>
              <w:t>2138</w:t>
            </w:r>
          </w:p>
        </w:tc>
        <w:tc>
          <w:tcPr>
            <w:tcW w:w="1234" w:type="dxa"/>
            <w:vAlign w:val="center"/>
          </w:tcPr>
          <w:p w14:paraId="2A0C2735" w14:textId="77777777" w:rsidR="00BF399A" w:rsidRDefault="00BF399A" w:rsidP="00D308D9">
            <w:pPr>
              <w:jc w:val="right"/>
            </w:pPr>
            <w:r>
              <w:t>2138</w:t>
            </w:r>
          </w:p>
        </w:tc>
        <w:tc>
          <w:tcPr>
            <w:tcW w:w="2593" w:type="dxa"/>
            <w:vAlign w:val="center"/>
          </w:tcPr>
          <w:p w14:paraId="2F48E35D" w14:textId="77777777" w:rsidR="00BF399A" w:rsidRDefault="00BF399A" w:rsidP="00D308D9">
            <w:pPr>
              <w:jc w:val="right"/>
            </w:pPr>
            <w:r>
              <w:t>0</w:t>
            </w:r>
          </w:p>
        </w:tc>
        <w:tc>
          <w:tcPr>
            <w:tcW w:w="949" w:type="dxa"/>
            <w:vAlign w:val="center"/>
          </w:tcPr>
          <w:p w14:paraId="1A4728BA" w14:textId="77777777" w:rsidR="00BF399A" w:rsidRDefault="00BF399A" w:rsidP="00D308D9">
            <w:pPr>
              <w:jc w:val="right"/>
            </w:pPr>
            <w:r>
              <w:t>0</w:t>
            </w:r>
          </w:p>
        </w:tc>
        <w:tc>
          <w:tcPr>
            <w:tcW w:w="1745" w:type="dxa"/>
            <w:vAlign w:val="center"/>
          </w:tcPr>
          <w:p w14:paraId="36F2150D" w14:textId="77777777" w:rsidR="00BF399A" w:rsidRDefault="00BF399A" w:rsidP="00D308D9">
            <w:pPr>
              <w:jc w:val="right"/>
            </w:pPr>
            <w:r>
              <w:t>(2136,2139)</w:t>
            </w:r>
          </w:p>
        </w:tc>
      </w:tr>
      <w:tr w:rsidR="00BF399A" w14:paraId="79E59DFD" w14:textId="77777777" w:rsidTr="00D308D9">
        <w:tc>
          <w:tcPr>
            <w:tcW w:w="1696" w:type="dxa"/>
          </w:tcPr>
          <w:p w14:paraId="2BD68E0B" w14:textId="77777777" w:rsidR="00BF399A" w:rsidRDefault="00BF399A" w:rsidP="00D308D9">
            <w:r>
              <w:t>Other</w:t>
            </w:r>
          </w:p>
        </w:tc>
        <w:tc>
          <w:tcPr>
            <w:tcW w:w="1843" w:type="dxa"/>
            <w:vAlign w:val="center"/>
          </w:tcPr>
          <w:p w14:paraId="6114129D" w14:textId="77777777" w:rsidR="00BF399A" w:rsidRDefault="00BF399A" w:rsidP="00D308D9">
            <w:pPr>
              <w:jc w:val="right"/>
            </w:pPr>
            <w:r>
              <w:t>808</w:t>
            </w:r>
          </w:p>
        </w:tc>
        <w:tc>
          <w:tcPr>
            <w:tcW w:w="1234" w:type="dxa"/>
            <w:vAlign w:val="center"/>
          </w:tcPr>
          <w:p w14:paraId="5A1AF85C" w14:textId="77777777" w:rsidR="00BF399A" w:rsidRDefault="00BF399A" w:rsidP="00D308D9">
            <w:pPr>
              <w:jc w:val="right"/>
            </w:pPr>
            <w:r>
              <w:t>808</w:t>
            </w:r>
          </w:p>
        </w:tc>
        <w:tc>
          <w:tcPr>
            <w:tcW w:w="2593" w:type="dxa"/>
            <w:vAlign w:val="center"/>
          </w:tcPr>
          <w:p w14:paraId="57B6CDC4" w14:textId="77777777" w:rsidR="00BF399A" w:rsidRDefault="00BF399A" w:rsidP="00D308D9">
            <w:pPr>
              <w:jc w:val="right"/>
            </w:pPr>
            <w:r>
              <w:t>0</w:t>
            </w:r>
          </w:p>
        </w:tc>
        <w:tc>
          <w:tcPr>
            <w:tcW w:w="949" w:type="dxa"/>
            <w:vAlign w:val="center"/>
          </w:tcPr>
          <w:p w14:paraId="1B00CB12" w14:textId="77777777" w:rsidR="00BF399A" w:rsidRDefault="00BF399A" w:rsidP="00D308D9">
            <w:pPr>
              <w:jc w:val="right"/>
            </w:pPr>
            <w:r>
              <w:t>0</w:t>
            </w:r>
          </w:p>
        </w:tc>
        <w:tc>
          <w:tcPr>
            <w:tcW w:w="1745" w:type="dxa"/>
            <w:vAlign w:val="center"/>
          </w:tcPr>
          <w:p w14:paraId="087B367A" w14:textId="77777777" w:rsidR="00BF399A" w:rsidRDefault="00BF399A" w:rsidP="00D308D9">
            <w:pPr>
              <w:jc w:val="right"/>
            </w:pPr>
            <w:r>
              <w:t>(807,809)</w:t>
            </w:r>
          </w:p>
        </w:tc>
      </w:tr>
      <w:tr w:rsidR="00BF399A" w14:paraId="4916F004" w14:textId="77777777" w:rsidTr="00D308D9">
        <w:tc>
          <w:tcPr>
            <w:tcW w:w="1696" w:type="dxa"/>
          </w:tcPr>
          <w:p w14:paraId="78EAF189" w14:textId="77777777" w:rsidR="00BF399A" w:rsidRPr="00CB4207" w:rsidRDefault="00BF399A" w:rsidP="00D308D9">
            <w:pPr>
              <w:rPr>
                <w:b/>
              </w:rPr>
            </w:pPr>
            <w:r w:rsidRPr="00CB4207">
              <w:rPr>
                <w:b/>
              </w:rPr>
              <w:t xml:space="preserve">Activity </w:t>
            </w:r>
            <w:r>
              <w:rPr>
                <w:b/>
              </w:rPr>
              <w:t>l</w:t>
            </w:r>
            <w:r w:rsidRPr="00CB4207">
              <w:rPr>
                <w:b/>
              </w:rPr>
              <w:t>ast week</w:t>
            </w:r>
          </w:p>
        </w:tc>
        <w:tc>
          <w:tcPr>
            <w:tcW w:w="1843" w:type="dxa"/>
            <w:vAlign w:val="center"/>
          </w:tcPr>
          <w:p w14:paraId="68411412" w14:textId="77777777" w:rsidR="00BF399A" w:rsidRDefault="00BF399A" w:rsidP="00D308D9">
            <w:pPr>
              <w:jc w:val="right"/>
            </w:pPr>
          </w:p>
        </w:tc>
        <w:tc>
          <w:tcPr>
            <w:tcW w:w="1234" w:type="dxa"/>
            <w:vAlign w:val="center"/>
          </w:tcPr>
          <w:p w14:paraId="23ABE7C2" w14:textId="77777777" w:rsidR="00BF399A" w:rsidRDefault="00BF399A" w:rsidP="00D308D9">
            <w:pPr>
              <w:jc w:val="right"/>
            </w:pPr>
          </w:p>
        </w:tc>
        <w:tc>
          <w:tcPr>
            <w:tcW w:w="2593" w:type="dxa"/>
            <w:vAlign w:val="center"/>
          </w:tcPr>
          <w:p w14:paraId="14E6C290" w14:textId="77777777" w:rsidR="00BF399A" w:rsidRDefault="00BF399A" w:rsidP="00D308D9">
            <w:pPr>
              <w:jc w:val="right"/>
            </w:pPr>
          </w:p>
        </w:tc>
        <w:tc>
          <w:tcPr>
            <w:tcW w:w="949" w:type="dxa"/>
            <w:vAlign w:val="center"/>
          </w:tcPr>
          <w:p w14:paraId="73C2D3EB" w14:textId="77777777" w:rsidR="00BF399A" w:rsidRDefault="00BF399A" w:rsidP="00D308D9">
            <w:pPr>
              <w:jc w:val="right"/>
            </w:pPr>
          </w:p>
        </w:tc>
        <w:tc>
          <w:tcPr>
            <w:tcW w:w="1745" w:type="dxa"/>
            <w:vAlign w:val="center"/>
          </w:tcPr>
          <w:p w14:paraId="1448D4C3" w14:textId="77777777" w:rsidR="00BF399A" w:rsidRDefault="00BF399A" w:rsidP="00D308D9">
            <w:pPr>
              <w:jc w:val="right"/>
            </w:pPr>
          </w:p>
        </w:tc>
      </w:tr>
      <w:tr w:rsidR="00BF399A" w14:paraId="63F3FB92" w14:textId="77777777" w:rsidTr="00D308D9">
        <w:tc>
          <w:tcPr>
            <w:tcW w:w="1696" w:type="dxa"/>
          </w:tcPr>
          <w:p w14:paraId="1002A59E" w14:textId="77777777" w:rsidR="00BF399A" w:rsidRPr="002800CC" w:rsidRDefault="00BF399A" w:rsidP="00D308D9">
            <w:r>
              <w:t>Employed</w:t>
            </w:r>
          </w:p>
        </w:tc>
        <w:tc>
          <w:tcPr>
            <w:tcW w:w="1843" w:type="dxa"/>
            <w:vAlign w:val="center"/>
          </w:tcPr>
          <w:p w14:paraId="509861E8" w14:textId="77777777" w:rsidR="00BF399A" w:rsidRDefault="00BF399A" w:rsidP="00D308D9">
            <w:pPr>
              <w:jc w:val="right"/>
            </w:pPr>
            <w:r>
              <w:t>316280</w:t>
            </w:r>
          </w:p>
        </w:tc>
        <w:tc>
          <w:tcPr>
            <w:tcW w:w="1234" w:type="dxa"/>
            <w:vAlign w:val="center"/>
          </w:tcPr>
          <w:p w14:paraId="00F0F460" w14:textId="77777777" w:rsidR="00BF399A" w:rsidRDefault="00BF399A" w:rsidP="00D308D9">
            <w:pPr>
              <w:jc w:val="right"/>
            </w:pPr>
            <w:r>
              <w:t>316280</w:t>
            </w:r>
          </w:p>
        </w:tc>
        <w:tc>
          <w:tcPr>
            <w:tcW w:w="2593" w:type="dxa"/>
            <w:vAlign w:val="center"/>
          </w:tcPr>
          <w:p w14:paraId="36DBBA5A" w14:textId="77777777" w:rsidR="00BF399A" w:rsidRDefault="00BF399A" w:rsidP="00D308D9">
            <w:pPr>
              <w:jc w:val="right"/>
            </w:pPr>
            <w:r>
              <w:t>0</w:t>
            </w:r>
          </w:p>
        </w:tc>
        <w:tc>
          <w:tcPr>
            <w:tcW w:w="949" w:type="dxa"/>
            <w:vAlign w:val="center"/>
          </w:tcPr>
          <w:p w14:paraId="2688E05F" w14:textId="77777777" w:rsidR="00BF399A" w:rsidRDefault="00BF399A" w:rsidP="00D308D9">
            <w:pPr>
              <w:jc w:val="right"/>
            </w:pPr>
            <w:r>
              <w:t>0</w:t>
            </w:r>
          </w:p>
        </w:tc>
        <w:tc>
          <w:tcPr>
            <w:tcW w:w="1745" w:type="dxa"/>
            <w:vAlign w:val="center"/>
          </w:tcPr>
          <w:p w14:paraId="6C145B00" w14:textId="77777777" w:rsidR="00BF399A" w:rsidRDefault="00BF399A" w:rsidP="00D308D9">
            <w:pPr>
              <w:jc w:val="right"/>
            </w:pPr>
            <w:r>
              <w:t>(316278,316281)</w:t>
            </w:r>
          </w:p>
        </w:tc>
      </w:tr>
      <w:tr w:rsidR="00BF399A" w14:paraId="6642F910" w14:textId="77777777" w:rsidTr="00D308D9">
        <w:tc>
          <w:tcPr>
            <w:tcW w:w="1696" w:type="dxa"/>
          </w:tcPr>
          <w:p w14:paraId="2206F186" w14:textId="77777777" w:rsidR="00BF399A" w:rsidRPr="002800CC" w:rsidRDefault="00BF399A" w:rsidP="00D308D9">
            <w:r>
              <w:t>Unemployed</w:t>
            </w:r>
          </w:p>
        </w:tc>
        <w:tc>
          <w:tcPr>
            <w:tcW w:w="1843" w:type="dxa"/>
            <w:vAlign w:val="center"/>
          </w:tcPr>
          <w:p w14:paraId="7F6C6137" w14:textId="77777777" w:rsidR="00BF399A" w:rsidRDefault="00BF399A" w:rsidP="00D308D9">
            <w:pPr>
              <w:jc w:val="right"/>
            </w:pPr>
            <w:r>
              <w:t>28763</w:t>
            </w:r>
          </w:p>
        </w:tc>
        <w:tc>
          <w:tcPr>
            <w:tcW w:w="1234" w:type="dxa"/>
            <w:vAlign w:val="center"/>
          </w:tcPr>
          <w:p w14:paraId="7BDA7C61" w14:textId="77777777" w:rsidR="00BF399A" w:rsidRDefault="00BF399A" w:rsidP="00D308D9">
            <w:pPr>
              <w:jc w:val="right"/>
            </w:pPr>
            <w:r>
              <w:t>28763</w:t>
            </w:r>
          </w:p>
        </w:tc>
        <w:tc>
          <w:tcPr>
            <w:tcW w:w="2593" w:type="dxa"/>
            <w:vAlign w:val="center"/>
          </w:tcPr>
          <w:p w14:paraId="07E289C1" w14:textId="77777777" w:rsidR="00BF399A" w:rsidRDefault="00BF399A" w:rsidP="00D308D9">
            <w:pPr>
              <w:jc w:val="right"/>
            </w:pPr>
            <w:r>
              <w:t>0</w:t>
            </w:r>
          </w:p>
        </w:tc>
        <w:tc>
          <w:tcPr>
            <w:tcW w:w="949" w:type="dxa"/>
            <w:vAlign w:val="center"/>
          </w:tcPr>
          <w:p w14:paraId="18CB75FA" w14:textId="77777777" w:rsidR="00BF399A" w:rsidRDefault="00BF399A" w:rsidP="00D308D9">
            <w:pPr>
              <w:jc w:val="right"/>
            </w:pPr>
            <w:r>
              <w:t>0</w:t>
            </w:r>
          </w:p>
        </w:tc>
        <w:tc>
          <w:tcPr>
            <w:tcW w:w="1745" w:type="dxa"/>
            <w:vAlign w:val="center"/>
          </w:tcPr>
          <w:p w14:paraId="5079A886" w14:textId="77777777" w:rsidR="00BF399A" w:rsidRDefault="00BF399A" w:rsidP="00D308D9">
            <w:pPr>
              <w:jc w:val="right"/>
            </w:pPr>
            <w:r>
              <w:t>(28761,28765)</w:t>
            </w:r>
          </w:p>
        </w:tc>
      </w:tr>
      <w:tr w:rsidR="00BF399A" w14:paraId="728BC0DE" w14:textId="77777777" w:rsidTr="00D308D9">
        <w:tc>
          <w:tcPr>
            <w:tcW w:w="1696" w:type="dxa"/>
          </w:tcPr>
          <w:p w14:paraId="3259D998" w14:textId="77777777" w:rsidR="00BF399A" w:rsidRPr="002800CC" w:rsidRDefault="00BF399A" w:rsidP="00D308D9">
            <w:r>
              <w:t>Student</w:t>
            </w:r>
          </w:p>
        </w:tc>
        <w:tc>
          <w:tcPr>
            <w:tcW w:w="1843" w:type="dxa"/>
            <w:vAlign w:val="center"/>
          </w:tcPr>
          <w:p w14:paraId="3BFD5C95" w14:textId="77777777" w:rsidR="00BF399A" w:rsidRDefault="00BF399A" w:rsidP="00D308D9">
            <w:pPr>
              <w:jc w:val="right"/>
            </w:pPr>
            <w:r>
              <w:t>17446</w:t>
            </w:r>
          </w:p>
        </w:tc>
        <w:tc>
          <w:tcPr>
            <w:tcW w:w="1234" w:type="dxa"/>
            <w:vAlign w:val="center"/>
          </w:tcPr>
          <w:p w14:paraId="01D59B19" w14:textId="77777777" w:rsidR="00BF399A" w:rsidRDefault="00BF399A" w:rsidP="00D308D9">
            <w:pPr>
              <w:jc w:val="right"/>
            </w:pPr>
            <w:r>
              <w:t>17446</w:t>
            </w:r>
          </w:p>
        </w:tc>
        <w:tc>
          <w:tcPr>
            <w:tcW w:w="2593" w:type="dxa"/>
            <w:vAlign w:val="center"/>
          </w:tcPr>
          <w:p w14:paraId="7AABAED3" w14:textId="77777777" w:rsidR="00BF399A" w:rsidRDefault="00BF399A" w:rsidP="00D308D9">
            <w:pPr>
              <w:jc w:val="right"/>
            </w:pPr>
            <w:r>
              <w:t>0</w:t>
            </w:r>
          </w:p>
        </w:tc>
        <w:tc>
          <w:tcPr>
            <w:tcW w:w="949" w:type="dxa"/>
            <w:vAlign w:val="center"/>
          </w:tcPr>
          <w:p w14:paraId="275EBCF5" w14:textId="77777777" w:rsidR="00BF399A" w:rsidRDefault="00BF399A" w:rsidP="00D308D9">
            <w:pPr>
              <w:jc w:val="right"/>
            </w:pPr>
            <w:r>
              <w:t>0</w:t>
            </w:r>
          </w:p>
        </w:tc>
        <w:tc>
          <w:tcPr>
            <w:tcW w:w="1745" w:type="dxa"/>
            <w:vAlign w:val="center"/>
          </w:tcPr>
          <w:p w14:paraId="7883C78F" w14:textId="77777777" w:rsidR="00BF399A" w:rsidRDefault="00BF399A" w:rsidP="00D308D9">
            <w:pPr>
              <w:jc w:val="right"/>
            </w:pPr>
            <w:r>
              <w:t>(17444,17447)</w:t>
            </w:r>
          </w:p>
        </w:tc>
      </w:tr>
      <w:tr w:rsidR="00BF399A" w14:paraId="28889445" w14:textId="77777777" w:rsidTr="00D308D9">
        <w:tc>
          <w:tcPr>
            <w:tcW w:w="1696" w:type="dxa"/>
          </w:tcPr>
          <w:p w14:paraId="7672F1AB" w14:textId="77777777" w:rsidR="00BF399A" w:rsidRPr="002800CC" w:rsidRDefault="00BF399A" w:rsidP="00D308D9">
            <w:r>
              <w:t>Other</w:t>
            </w:r>
          </w:p>
        </w:tc>
        <w:tc>
          <w:tcPr>
            <w:tcW w:w="1843" w:type="dxa"/>
            <w:vAlign w:val="center"/>
          </w:tcPr>
          <w:p w14:paraId="32AE120D" w14:textId="77777777" w:rsidR="00BF399A" w:rsidRDefault="00BF399A" w:rsidP="00D308D9">
            <w:pPr>
              <w:jc w:val="right"/>
            </w:pPr>
            <w:r>
              <w:t>287593</w:t>
            </w:r>
          </w:p>
        </w:tc>
        <w:tc>
          <w:tcPr>
            <w:tcW w:w="1234" w:type="dxa"/>
            <w:vAlign w:val="center"/>
          </w:tcPr>
          <w:p w14:paraId="5AF749F9" w14:textId="77777777" w:rsidR="00BF399A" w:rsidRDefault="00BF399A" w:rsidP="00D308D9">
            <w:pPr>
              <w:jc w:val="right"/>
            </w:pPr>
            <w:r>
              <w:t>287593</w:t>
            </w:r>
          </w:p>
        </w:tc>
        <w:tc>
          <w:tcPr>
            <w:tcW w:w="2593" w:type="dxa"/>
            <w:vAlign w:val="center"/>
          </w:tcPr>
          <w:p w14:paraId="5BDDB9B6" w14:textId="77777777" w:rsidR="00BF399A" w:rsidRDefault="00BF399A" w:rsidP="00D308D9">
            <w:pPr>
              <w:jc w:val="right"/>
            </w:pPr>
            <w:r>
              <w:t>0</w:t>
            </w:r>
          </w:p>
        </w:tc>
        <w:tc>
          <w:tcPr>
            <w:tcW w:w="949" w:type="dxa"/>
            <w:vAlign w:val="center"/>
          </w:tcPr>
          <w:p w14:paraId="642A564E" w14:textId="77777777" w:rsidR="00BF399A" w:rsidRDefault="00BF399A" w:rsidP="00D308D9">
            <w:pPr>
              <w:jc w:val="right"/>
            </w:pPr>
            <w:r>
              <w:t>0</w:t>
            </w:r>
          </w:p>
        </w:tc>
        <w:tc>
          <w:tcPr>
            <w:tcW w:w="1745" w:type="dxa"/>
            <w:vAlign w:val="center"/>
          </w:tcPr>
          <w:p w14:paraId="473DCA59" w14:textId="77777777" w:rsidR="00BF399A" w:rsidRDefault="00BF399A" w:rsidP="00D308D9">
            <w:pPr>
              <w:jc w:val="right"/>
            </w:pPr>
            <w:r>
              <w:t>(287591,287595)</w:t>
            </w:r>
          </w:p>
        </w:tc>
      </w:tr>
      <w:bookmarkEnd w:id="9"/>
    </w:tbl>
    <w:p w14:paraId="1AACF00A" w14:textId="77777777" w:rsidR="00BF399A" w:rsidRDefault="00BF399A" w:rsidP="00BF399A">
      <w:pPr>
        <w:rPr>
          <w:b/>
        </w:rPr>
      </w:pPr>
    </w:p>
    <w:p w14:paraId="7781625B" w14:textId="77777777" w:rsidR="00BF399A" w:rsidRDefault="00BF399A" w:rsidP="00BF399A">
      <w:pPr>
        <w:rPr>
          <w:b/>
        </w:rPr>
      </w:pPr>
    </w:p>
    <w:p w14:paraId="582CCE0B" w14:textId="77777777" w:rsidR="002F2DB5" w:rsidRPr="00BF399A" w:rsidRDefault="002F2DB5" w:rsidP="00BF399A"/>
    <w:sectPr w:rsidR="002F2DB5" w:rsidRPr="00BF399A" w:rsidSect="003B6B67">
      <w:headerReference w:type="default" r:id="rId16"/>
      <w:head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FABA8" w14:textId="77777777" w:rsidR="009E68A9" w:rsidRDefault="009E68A9" w:rsidP="007A0119">
      <w:pPr>
        <w:spacing w:after="0" w:line="240" w:lineRule="auto"/>
      </w:pPr>
      <w:r>
        <w:separator/>
      </w:r>
    </w:p>
  </w:endnote>
  <w:endnote w:type="continuationSeparator" w:id="0">
    <w:p w14:paraId="0F03BF63" w14:textId="77777777" w:rsidR="009E68A9" w:rsidRDefault="009E68A9" w:rsidP="007A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CF410" w14:textId="77777777" w:rsidR="009E68A9" w:rsidRDefault="009E68A9" w:rsidP="007A0119">
      <w:pPr>
        <w:spacing w:after="0" w:line="240" w:lineRule="auto"/>
      </w:pPr>
      <w:r>
        <w:separator/>
      </w:r>
    </w:p>
  </w:footnote>
  <w:footnote w:type="continuationSeparator" w:id="0">
    <w:p w14:paraId="396477E1" w14:textId="77777777" w:rsidR="009E68A9" w:rsidRDefault="009E68A9" w:rsidP="007A0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95F0F" w14:textId="3FC492C5" w:rsidR="00FE5291" w:rsidRPr="003B6B67" w:rsidRDefault="00FE5291" w:rsidP="00FE5291">
    <w:pPr>
      <w:spacing w:line="240" w:lineRule="auto"/>
      <w:rPr>
        <w:b/>
        <w:color w:val="A6A6A6" w:themeColor="background1" w:themeShade="A6"/>
        <w:sz w:val="28"/>
        <w:szCs w:val="28"/>
      </w:rPr>
    </w:pPr>
  </w:p>
  <w:p w14:paraId="5014FD3F" w14:textId="77777777" w:rsidR="00FE5291" w:rsidRDefault="00FE5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5A9FF" w14:textId="1CC0717F" w:rsidR="003B6B67" w:rsidRDefault="003B6B67">
    <w:pPr>
      <w:pStyle w:val="Header"/>
    </w:pPr>
    <w:r w:rsidRPr="003B6B67">
      <w:rPr>
        <w:b/>
        <w:color w:val="A6A6A6" w:themeColor="background1" w:themeShade="A6"/>
        <w:sz w:val="28"/>
        <w:szCs w:val="28"/>
      </w:rPr>
      <w:t>External Assurance Panel (October 2019)</w:t>
    </w:r>
    <w:r w:rsidRPr="003B6B67">
      <w:rPr>
        <w:b/>
        <w:color w:val="A6A6A6" w:themeColor="background1" w:themeShade="A6"/>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D13"/>
    <w:multiLevelType w:val="multilevel"/>
    <w:tmpl w:val="83B4F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E0259"/>
    <w:multiLevelType w:val="hybridMultilevel"/>
    <w:tmpl w:val="855827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BC796D"/>
    <w:multiLevelType w:val="hybridMultilevel"/>
    <w:tmpl w:val="8D64A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B1558"/>
    <w:multiLevelType w:val="multilevel"/>
    <w:tmpl w:val="0C149C28"/>
    <w:lvl w:ilvl="0">
      <w:start w:val="1"/>
      <w:numFmt w:val="decimal"/>
      <w:lvlText w:val="%1."/>
      <w:lvlJc w:val="left"/>
      <w:pPr>
        <w:ind w:left="720" w:hanging="360"/>
      </w:pPr>
    </w:lvl>
    <w:lvl w:ilvl="1">
      <w:start w:val="1"/>
      <w:numFmt w:val="decimal"/>
      <w:isLgl/>
      <w:lvlText w:val="%1.%2."/>
      <w:lvlJc w:val="left"/>
      <w:pPr>
        <w:ind w:left="862" w:hanging="720"/>
      </w:pPr>
      <w:rPr>
        <w:rFonts w:ascii="Calibri" w:hAnsi="Calibri" w:hint="default"/>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1E990A33"/>
    <w:multiLevelType w:val="hybridMultilevel"/>
    <w:tmpl w:val="19A646D8"/>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23663974"/>
    <w:multiLevelType w:val="hybridMultilevel"/>
    <w:tmpl w:val="FBCAF968"/>
    <w:lvl w:ilvl="0" w:tplc="9FA4EACA">
      <w:start w:val="1"/>
      <w:numFmt w:val="decimal"/>
      <w:lvlText w:val="%1)"/>
      <w:lvlJc w:val="left"/>
      <w:pPr>
        <w:ind w:left="1080" w:hanging="360"/>
      </w:pPr>
      <w:rPr>
        <w:rFonts w:asciiTheme="minorHAnsi" w:eastAsiaTheme="minorEastAsia" w:hAnsiTheme="minorHAnsi" w:cstheme="minorBidi"/>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49C2E80"/>
    <w:multiLevelType w:val="hybridMultilevel"/>
    <w:tmpl w:val="D122A982"/>
    <w:lvl w:ilvl="0" w:tplc="A328DE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AB3D2D"/>
    <w:multiLevelType w:val="multilevel"/>
    <w:tmpl w:val="C53625F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D219FC"/>
    <w:multiLevelType w:val="hybridMultilevel"/>
    <w:tmpl w:val="300A4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E9059F"/>
    <w:multiLevelType w:val="multilevel"/>
    <w:tmpl w:val="8A22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1C2C53"/>
    <w:multiLevelType w:val="hybridMultilevel"/>
    <w:tmpl w:val="A7BEAD0E"/>
    <w:lvl w:ilvl="0" w:tplc="77DEF71C">
      <w:start w:val="1"/>
      <w:numFmt w:val="decimal"/>
      <w:lvlText w:val="%1."/>
      <w:lvlJc w:val="left"/>
      <w:pPr>
        <w:ind w:left="720" w:hanging="360"/>
      </w:pPr>
      <w:rPr>
        <w:rFonts w:hint="default"/>
        <w:color w:val="7030A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3E0CF5"/>
    <w:multiLevelType w:val="hybridMultilevel"/>
    <w:tmpl w:val="DECA91DC"/>
    <w:lvl w:ilvl="0" w:tplc="D4986F4A">
      <w:numFmt w:val="bullet"/>
      <w:lvlText w:val="-"/>
      <w:lvlJc w:val="left"/>
      <w:pPr>
        <w:ind w:left="948" w:hanging="360"/>
      </w:pPr>
      <w:rPr>
        <w:rFonts w:ascii="Calibri" w:eastAsia="Times New Roman" w:hAnsi="Calibri" w:cs="Times New Roman" w:hint="default"/>
      </w:rPr>
    </w:lvl>
    <w:lvl w:ilvl="1" w:tplc="08090003">
      <w:start w:val="1"/>
      <w:numFmt w:val="bullet"/>
      <w:lvlText w:val="o"/>
      <w:lvlJc w:val="left"/>
      <w:pPr>
        <w:ind w:left="1668" w:hanging="360"/>
      </w:pPr>
      <w:rPr>
        <w:rFonts w:ascii="Courier New" w:hAnsi="Courier New" w:cs="Courier New" w:hint="default"/>
      </w:rPr>
    </w:lvl>
    <w:lvl w:ilvl="2" w:tplc="08090005">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12" w15:restartNumberingAfterBreak="0">
    <w:nsid w:val="45521DD2"/>
    <w:multiLevelType w:val="multilevel"/>
    <w:tmpl w:val="8A8E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7C3EC7"/>
    <w:multiLevelType w:val="multilevel"/>
    <w:tmpl w:val="1214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A77B0F"/>
    <w:multiLevelType w:val="hybridMultilevel"/>
    <w:tmpl w:val="C6C2AE04"/>
    <w:lvl w:ilvl="0" w:tplc="4F1C46C0">
      <w:start w:val="1"/>
      <w:numFmt w:val="lowerRoman"/>
      <w:lvlText w:val="%1)"/>
      <w:lvlJc w:val="left"/>
      <w:pPr>
        <w:ind w:left="1074" w:hanging="360"/>
      </w:pPr>
      <w:rPr>
        <w:rFonts w:asciiTheme="minorHAnsi" w:eastAsiaTheme="minorEastAsia" w:hAnsiTheme="minorHAnsi" w:cstheme="minorBidi"/>
        <w:b w:val="0"/>
      </w:r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start w:val="1"/>
      <w:numFmt w:val="decimal"/>
      <w:lvlText w:val="%4."/>
      <w:lvlJc w:val="left"/>
      <w:pPr>
        <w:ind w:left="3234" w:hanging="360"/>
      </w:pPr>
    </w:lvl>
    <w:lvl w:ilvl="4" w:tplc="08090019">
      <w:start w:val="1"/>
      <w:numFmt w:val="lowerLetter"/>
      <w:lvlText w:val="%5."/>
      <w:lvlJc w:val="left"/>
      <w:pPr>
        <w:ind w:left="3954" w:hanging="360"/>
      </w:pPr>
    </w:lvl>
    <w:lvl w:ilvl="5" w:tplc="0809001B">
      <w:start w:val="1"/>
      <w:numFmt w:val="lowerRoman"/>
      <w:lvlText w:val="%6."/>
      <w:lvlJc w:val="right"/>
      <w:pPr>
        <w:ind w:left="4674" w:hanging="180"/>
      </w:pPr>
    </w:lvl>
    <w:lvl w:ilvl="6" w:tplc="0809000F">
      <w:start w:val="1"/>
      <w:numFmt w:val="decimal"/>
      <w:lvlText w:val="%7."/>
      <w:lvlJc w:val="left"/>
      <w:pPr>
        <w:ind w:left="5394" w:hanging="360"/>
      </w:pPr>
    </w:lvl>
    <w:lvl w:ilvl="7" w:tplc="08090019">
      <w:start w:val="1"/>
      <w:numFmt w:val="lowerLetter"/>
      <w:lvlText w:val="%8."/>
      <w:lvlJc w:val="left"/>
      <w:pPr>
        <w:ind w:left="6114" w:hanging="360"/>
      </w:pPr>
    </w:lvl>
    <w:lvl w:ilvl="8" w:tplc="0809001B">
      <w:start w:val="1"/>
      <w:numFmt w:val="lowerRoman"/>
      <w:lvlText w:val="%9."/>
      <w:lvlJc w:val="right"/>
      <w:pPr>
        <w:ind w:left="6834" w:hanging="180"/>
      </w:pPr>
    </w:lvl>
  </w:abstractNum>
  <w:abstractNum w:abstractNumId="15" w15:restartNumberingAfterBreak="0">
    <w:nsid w:val="61A25154"/>
    <w:multiLevelType w:val="hybridMultilevel"/>
    <w:tmpl w:val="A4BC58E0"/>
    <w:lvl w:ilvl="0" w:tplc="0A2C8DBC">
      <w:start w:val="1"/>
      <w:numFmt w:val="bullet"/>
      <w:lvlText w:val="•"/>
      <w:lvlJc w:val="left"/>
      <w:pPr>
        <w:tabs>
          <w:tab w:val="num" w:pos="720"/>
        </w:tabs>
        <w:ind w:left="720" w:hanging="360"/>
      </w:pPr>
      <w:rPr>
        <w:rFonts w:ascii="Arial" w:hAnsi="Arial" w:hint="default"/>
      </w:rPr>
    </w:lvl>
    <w:lvl w:ilvl="1" w:tplc="0AFE0154" w:tentative="1">
      <w:start w:val="1"/>
      <w:numFmt w:val="bullet"/>
      <w:lvlText w:val="•"/>
      <w:lvlJc w:val="left"/>
      <w:pPr>
        <w:tabs>
          <w:tab w:val="num" w:pos="1440"/>
        </w:tabs>
        <w:ind w:left="1440" w:hanging="360"/>
      </w:pPr>
      <w:rPr>
        <w:rFonts w:ascii="Arial" w:hAnsi="Arial" w:hint="default"/>
      </w:rPr>
    </w:lvl>
    <w:lvl w:ilvl="2" w:tplc="4AF06838" w:tentative="1">
      <w:start w:val="1"/>
      <w:numFmt w:val="bullet"/>
      <w:lvlText w:val="•"/>
      <w:lvlJc w:val="left"/>
      <w:pPr>
        <w:tabs>
          <w:tab w:val="num" w:pos="2160"/>
        </w:tabs>
        <w:ind w:left="2160" w:hanging="360"/>
      </w:pPr>
      <w:rPr>
        <w:rFonts w:ascii="Arial" w:hAnsi="Arial" w:hint="default"/>
      </w:rPr>
    </w:lvl>
    <w:lvl w:ilvl="3" w:tplc="8836E9C4" w:tentative="1">
      <w:start w:val="1"/>
      <w:numFmt w:val="bullet"/>
      <w:lvlText w:val="•"/>
      <w:lvlJc w:val="left"/>
      <w:pPr>
        <w:tabs>
          <w:tab w:val="num" w:pos="2880"/>
        </w:tabs>
        <w:ind w:left="2880" w:hanging="360"/>
      </w:pPr>
      <w:rPr>
        <w:rFonts w:ascii="Arial" w:hAnsi="Arial" w:hint="default"/>
      </w:rPr>
    </w:lvl>
    <w:lvl w:ilvl="4" w:tplc="9D80DFBE" w:tentative="1">
      <w:start w:val="1"/>
      <w:numFmt w:val="bullet"/>
      <w:lvlText w:val="•"/>
      <w:lvlJc w:val="left"/>
      <w:pPr>
        <w:tabs>
          <w:tab w:val="num" w:pos="3600"/>
        </w:tabs>
        <w:ind w:left="3600" w:hanging="360"/>
      </w:pPr>
      <w:rPr>
        <w:rFonts w:ascii="Arial" w:hAnsi="Arial" w:hint="default"/>
      </w:rPr>
    </w:lvl>
    <w:lvl w:ilvl="5" w:tplc="0ED0B024" w:tentative="1">
      <w:start w:val="1"/>
      <w:numFmt w:val="bullet"/>
      <w:lvlText w:val="•"/>
      <w:lvlJc w:val="left"/>
      <w:pPr>
        <w:tabs>
          <w:tab w:val="num" w:pos="4320"/>
        </w:tabs>
        <w:ind w:left="4320" w:hanging="360"/>
      </w:pPr>
      <w:rPr>
        <w:rFonts w:ascii="Arial" w:hAnsi="Arial" w:hint="default"/>
      </w:rPr>
    </w:lvl>
    <w:lvl w:ilvl="6" w:tplc="C570092A" w:tentative="1">
      <w:start w:val="1"/>
      <w:numFmt w:val="bullet"/>
      <w:lvlText w:val="•"/>
      <w:lvlJc w:val="left"/>
      <w:pPr>
        <w:tabs>
          <w:tab w:val="num" w:pos="5040"/>
        </w:tabs>
        <w:ind w:left="5040" w:hanging="360"/>
      </w:pPr>
      <w:rPr>
        <w:rFonts w:ascii="Arial" w:hAnsi="Arial" w:hint="default"/>
      </w:rPr>
    </w:lvl>
    <w:lvl w:ilvl="7" w:tplc="DA546636" w:tentative="1">
      <w:start w:val="1"/>
      <w:numFmt w:val="bullet"/>
      <w:lvlText w:val="•"/>
      <w:lvlJc w:val="left"/>
      <w:pPr>
        <w:tabs>
          <w:tab w:val="num" w:pos="5760"/>
        </w:tabs>
        <w:ind w:left="5760" w:hanging="360"/>
      </w:pPr>
      <w:rPr>
        <w:rFonts w:ascii="Arial" w:hAnsi="Arial" w:hint="default"/>
      </w:rPr>
    </w:lvl>
    <w:lvl w:ilvl="8" w:tplc="831A01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333376"/>
    <w:multiLevelType w:val="hybridMultilevel"/>
    <w:tmpl w:val="C70A7488"/>
    <w:lvl w:ilvl="0" w:tplc="52062E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C00E8D"/>
    <w:multiLevelType w:val="hybridMultilevel"/>
    <w:tmpl w:val="8E3064EA"/>
    <w:lvl w:ilvl="0" w:tplc="CCB4B522">
      <w:start w:val="1"/>
      <w:numFmt w:val="decimal"/>
      <w:lvlText w:val="%1."/>
      <w:lvlJc w:val="left"/>
      <w:pPr>
        <w:ind w:left="1069" w:hanging="360"/>
      </w:pPr>
      <w:rPr>
        <w:rFonts w:hint="default"/>
        <w:color w:val="auto"/>
        <w:sz w:val="24"/>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8" w15:restartNumberingAfterBreak="0">
    <w:nsid w:val="711C7C48"/>
    <w:multiLevelType w:val="multilevel"/>
    <w:tmpl w:val="551A3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E63CD9"/>
    <w:multiLevelType w:val="hybridMultilevel"/>
    <w:tmpl w:val="546C428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B54DE4"/>
    <w:multiLevelType w:val="hybridMultilevel"/>
    <w:tmpl w:val="860C0B4A"/>
    <w:lvl w:ilvl="0" w:tplc="6DB8AAC2">
      <w:start w:val="2"/>
      <w:numFmt w:val="lowerRoman"/>
      <w:lvlText w:val="%1)"/>
      <w:lvlJc w:val="left"/>
      <w:pPr>
        <w:ind w:left="1080" w:hanging="72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9C13A6B"/>
    <w:multiLevelType w:val="multilevel"/>
    <w:tmpl w:val="0C149C28"/>
    <w:lvl w:ilvl="0">
      <w:start w:val="1"/>
      <w:numFmt w:val="decimal"/>
      <w:lvlText w:val="%1."/>
      <w:lvlJc w:val="left"/>
      <w:pPr>
        <w:ind w:left="720" w:hanging="360"/>
      </w:pPr>
    </w:lvl>
    <w:lvl w:ilvl="1">
      <w:start w:val="1"/>
      <w:numFmt w:val="decimal"/>
      <w:isLgl/>
      <w:lvlText w:val="%1.%2."/>
      <w:lvlJc w:val="left"/>
      <w:pPr>
        <w:ind w:left="1080" w:hanging="720"/>
      </w:pPr>
      <w:rPr>
        <w:rFonts w:ascii="Calibri" w:hAnsi="Calibri" w:hint="default"/>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15:restartNumberingAfterBreak="0">
    <w:nsid w:val="7BC74A7B"/>
    <w:multiLevelType w:val="hybridMultilevel"/>
    <w:tmpl w:val="80DACB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E1122D"/>
    <w:multiLevelType w:val="multilevel"/>
    <w:tmpl w:val="DEB450C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0"/>
    <w:lvlOverride w:ilvl="0">
      <w:startOverride w:val="1"/>
    </w:lvlOverride>
  </w:num>
  <w:num w:numId="2">
    <w:abstractNumId w:val="12"/>
  </w:num>
  <w:num w:numId="3">
    <w:abstractNumId w:val="23"/>
  </w:num>
  <w:num w:numId="4">
    <w:abstractNumId w:val="18"/>
  </w:num>
  <w:num w:numId="5">
    <w:abstractNumId w:val="13"/>
  </w:num>
  <w:num w:numId="6">
    <w:abstractNumId w:val="9"/>
  </w:num>
  <w:num w:numId="7">
    <w:abstractNumId w:val="11"/>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21"/>
  </w:num>
  <w:num w:numId="14">
    <w:abstractNumId w:val="22"/>
  </w:num>
  <w:num w:numId="15">
    <w:abstractNumId w:val="1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5"/>
  </w:num>
  <w:num w:numId="20">
    <w:abstractNumId w:val="4"/>
  </w:num>
  <w:num w:numId="21">
    <w:abstractNumId w:val="10"/>
  </w:num>
  <w:num w:numId="22">
    <w:abstractNumId w:val="1"/>
  </w:num>
  <w:num w:numId="23">
    <w:abstractNumId w:val="2"/>
  </w:num>
  <w:num w:numId="24">
    <w:abstractNumId w:val="16"/>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41"/>
    <w:rsid w:val="00002A23"/>
    <w:rsid w:val="000044B2"/>
    <w:rsid w:val="00004515"/>
    <w:rsid w:val="00010D4B"/>
    <w:rsid w:val="00013026"/>
    <w:rsid w:val="00015D61"/>
    <w:rsid w:val="000206D1"/>
    <w:rsid w:val="000222E7"/>
    <w:rsid w:val="00023890"/>
    <w:rsid w:val="00025577"/>
    <w:rsid w:val="00026C97"/>
    <w:rsid w:val="00027892"/>
    <w:rsid w:val="00031562"/>
    <w:rsid w:val="00034C6E"/>
    <w:rsid w:val="00037289"/>
    <w:rsid w:val="0004426E"/>
    <w:rsid w:val="00044703"/>
    <w:rsid w:val="000514C8"/>
    <w:rsid w:val="00051958"/>
    <w:rsid w:val="00054E85"/>
    <w:rsid w:val="00061262"/>
    <w:rsid w:val="000622B3"/>
    <w:rsid w:val="000622C8"/>
    <w:rsid w:val="00066F2F"/>
    <w:rsid w:val="000701E2"/>
    <w:rsid w:val="000779EE"/>
    <w:rsid w:val="00083C5F"/>
    <w:rsid w:val="00084E1E"/>
    <w:rsid w:val="00085E1F"/>
    <w:rsid w:val="0008719B"/>
    <w:rsid w:val="00090125"/>
    <w:rsid w:val="0009132E"/>
    <w:rsid w:val="0009346E"/>
    <w:rsid w:val="0009399C"/>
    <w:rsid w:val="00095FF3"/>
    <w:rsid w:val="000963DC"/>
    <w:rsid w:val="00097872"/>
    <w:rsid w:val="000A33B4"/>
    <w:rsid w:val="000A4D0D"/>
    <w:rsid w:val="000A5A08"/>
    <w:rsid w:val="000B014E"/>
    <w:rsid w:val="000B1080"/>
    <w:rsid w:val="000B4288"/>
    <w:rsid w:val="000C6A0D"/>
    <w:rsid w:val="000C7329"/>
    <w:rsid w:val="000D3144"/>
    <w:rsid w:val="000D4F86"/>
    <w:rsid w:val="000D785A"/>
    <w:rsid w:val="000E227F"/>
    <w:rsid w:val="000F2297"/>
    <w:rsid w:val="000F29C8"/>
    <w:rsid w:val="000F4BFC"/>
    <w:rsid w:val="000F76D7"/>
    <w:rsid w:val="001026B7"/>
    <w:rsid w:val="001068D6"/>
    <w:rsid w:val="00106AB3"/>
    <w:rsid w:val="00107656"/>
    <w:rsid w:val="00107F04"/>
    <w:rsid w:val="00111148"/>
    <w:rsid w:val="00113B12"/>
    <w:rsid w:val="00122D25"/>
    <w:rsid w:val="0012382B"/>
    <w:rsid w:val="001272CE"/>
    <w:rsid w:val="00130E9A"/>
    <w:rsid w:val="0013114F"/>
    <w:rsid w:val="0013440E"/>
    <w:rsid w:val="001346B8"/>
    <w:rsid w:val="001346C7"/>
    <w:rsid w:val="00137133"/>
    <w:rsid w:val="001377C2"/>
    <w:rsid w:val="001406F9"/>
    <w:rsid w:val="00141060"/>
    <w:rsid w:val="00141434"/>
    <w:rsid w:val="00141A8E"/>
    <w:rsid w:val="00141FF2"/>
    <w:rsid w:val="001478BF"/>
    <w:rsid w:val="00150535"/>
    <w:rsid w:val="00153203"/>
    <w:rsid w:val="00153778"/>
    <w:rsid w:val="00155279"/>
    <w:rsid w:val="001620DA"/>
    <w:rsid w:val="00167F47"/>
    <w:rsid w:val="00170303"/>
    <w:rsid w:val="00171773"/>
    <w:rsid w:val="001766A7"/>
    <w:rsid w:val="001847CF"/>
    <w:rsid w:val="00186ACF"/>
    <w:rsid w:val="001930D7"/>
    <w:rsid w:val="00195D26"/>
    <w:rsid w:val="00195F63"/>
    <w:rsid w:val="001A0169"/>
    <w:rsid w:val="001A108D"/>
    <w:rsid w:val="001A2580"/>
    <w:rsid w:val="001A3FE0"/>
    <w:rsid w:val="001B19FD"/>
    <w:rsid w:val="001B754D"/>
    <w:rsid w:val="001B7FEF"/>
    <w:rsid w:val="001C40FD"/>
    <w:rsid w:val="001D07F9"/>
    <w:rsid w:val="001D56F5"/>
    <w:rsid w:val="001D7C6B"/>
    <w:rsid w:val="001E0CB0"/>
    <w:rsid w:val="001E4695"/>
    <w:rsid w:val="001E740E"/>
    <w:rsid w:val="0020447E"/>
    <w:rsid w:val="00206DF8"/>
    <w:rsid w:val="0020795C"/>
    <w:rsid w:val="002103C7"/>
    <w:rsid w:val="0021469E"/>
    <w:rsid w:val="002166E2"/>
    <w:rsid w:val="00216B4C"/>
    <w:rsid w:val="002209EF"/>
    <w:rsid w:val="0022261C"/>
    <w:rsid w:val="00222705"/>
    <w:rsid w:val="00222A48"/>
    <w:rsid w:val="0022715A"/>
    <w:rsid w:val="00227513"/>
    <w:rsid w:val="00231C84"/>
    <w:rsid w:val="00232527"/>
    <w:rsid w:val="00234008"/>
    <w:rsid w:val="00242D9C"/>
    <w:rsid w:val="0024674A"/>
    <w:rsid w:val="00250C9A"/>
    <w:rsid w:val="002519A5"/>
    <w:rsid w:val="00251E53"/>
    <w:rsid w:val="00252981"/>
    <w:rsid w:val="00252C4F"/>
    <w:rsid w:val="0025378A"/>
    <w:rsid w:val="00256A6C"/>
    <w:rsid w:val="0026087B"/>
    <w:rsid w:val="00262123"/>
    <w:rsid w:val="0026299F"/>
    <w:rsid w:val="002656CE"/>
    <w:rsid w:val="0027148A"/>
    <w:rsid w:val="002730F1"/>
    <w:rsid w:val="0027750C"/>
    <w:rsid w:val="00284CF9"/>
    <w:rsid w:val="00286AF7"/>
    <w:rsid w:val="00292710"/>
    <w:rsid w:val="00293452"/>
    <w:rsid w:val="002A1CED"/>
    <w:rsid w:val="002A4940"/>
    <w:rsid w:val="002A5065"/>
    <w:rsid w:val="002A625D"/>
    <w:rsid w:val="002A65AE"/>
    <w:rsid w:val="002B2440"/>
    <w:rsid w:val="002B5D52"/>
    <w:rsid w:val="002C03D4"/>
    <w:rsid w:val="002C1374"/>
    <w:rsid w:val="002C5D55"/>
    <w:rsid w:val="002C795F"/>
    <w:rsid w:val="002C7A0D"/>
    <w:rsid w:val="002D29FE"/>
    <w:rsid w:val="002D5B30"/>
    <w:rsid w:val="002D73F9"/>
    <w:rsid w:val="002E1C25"/>
    <w:rsid w:val="002E2377"/>
    <w:rsid w:val="002E3FC1"/>
    <w:rsid w:val="002E76BF"/>
    <w:rsid w:val="002F2DB5"/>
    <w:rsid w:val="002F590F"/>
    <w:rsid w:val="002F633F"/>
    <w:rsid w:val="00311560"/>
    <w:rsid w:val="00312C7D"/>
    <w:rsid w:val="0031409D"/>
    <w:rsid w:val="00314611"/>
    <w:rsid w:val="00314A1A"/>
    <w:rsid w:val="00314CD6"/>
    <w:rsid w:val="00314D18"/>
    <w:rsid w:val="00316521"/>
    <w:rsid w:val="003207E9"/>
    <w:rsid w:val="00325441"/>
    <w:rsid w:val="0032562C"/>
    <w:rsid w:val="00325BC0"/>
    <w:rsid w:val="00325DB2"/>
    <w:rsid w:val="00326FDB"/>
    <w:rsid w:val="00330511"/>
    <w:rsid w:val="00334925"/>
    <w:rsid w:val="00334CF7"/>
    <w:rsid w:val="0033556B"/>
    <w:rsid w:val="00337031"/>
    <w:rsid w:val="0034154C"/>
    <w:rsid w:val="00344D50"/>
    <w:rsid w:val="00346D00"/>
    <w:rsid w:val="003471E8"/>
    <w:rsid w:val="003521D6"/>
    <w:rsid w:val="00353B03"/>
    <w:rsid w:val="00355624"/>
    <w:rsid w:val="003632A8"/>
    <w:rsid w:val="00367891"/>
    <w:rsid w:val="00367AE3"/>
    <w:rsid w:val="00370F28"/>
    <w:rsid w:val="00372BA2"/>
    <w:rsid w:val="0037325B"/>
    <w:rsid w:val="00373A5F"/>
    <w:rsid w:val="00375D22"/>
    <w:rsid w:val="003824C5"/>
    <w:rsid w:val="003903D4"/>
    <w:rsid w:val="0039661E"/>
    <w:rsid w:val="00396C1C"/>
    <w:rsid w:val="003A3D75"/>
    <w:rsid w:val="003A6C2B"/>
    <w:rsid w:val="003B14AD"/>
    <w:rsid w:val="003B1FD7"/>
    <w:rsid w:val="003B22E5"/>
    <w:rsid w:val="003B2616"/>
    <w:rsid w:val="003B6B67"/>
    <w:rsid w:val="003C46EA"/>
    <w:rsid w:val="003C4899"/>
    <w:rsid w:val="003D0579"/>
    <w:rsid w:val="003D1C01"/>
    <w:rsid w:val="003D1FDB"/>
    <w:rsid w:val="003D3C3E"/>
    <w:rsid w:val="003D3FCA"/>
    <w:rsid w:val="003D6326"/>
    <w:rsid w:val="003D77B3"/>
    <w:rsid w:val="003E0EEA"/>
    <w:rsid w:val="003E14C3"/>
    <w:rsid w:val="003E3BBD"/>
    <w:rsid w:val="003E5311"/>
    <w:rsid w:val="003E7FC7"/>
    <w:rsid w:val="003F4895"/>
    <w:rsid w:val="0040438E"/>
    <w:rsid w:val="0041178A"/>
    <w:rsid w:val="00412ABA"/>
    <w:rsid w:val="00412D8D"/>
    <w:rsid w:val="004221A8"/>
    <w:rsid w:val="0043058D"/>
    <w:rsid w:val="00433F36"/>
    <w:rsid w:val="004368C5"/>
    <w:rsid w:val="0045215C"/>
    <w:rsid w:val="00455BE1"/>
    <w:rsid w:val="0047238E"/>
    <w:rsid w:val="00474540"/>
    <w:rsid w:val="00474B3C"/>
    <w:rsid w:val="00475038"/>
    <w:rsid w:val="00475793"/>
    <w:rsid w:val="00481CA0"/>
    <w:rsid w:val="0048477C"/>
    <w:rsid w:val="00490C9C"/>
    <w:rsid w:val="00490DDD"/>
    <w:rsid w:val="0049260F"/>
    <w:rsid w:val="0049638B"/>
    <w:rsid w:val="004A04DB"/>
    <w:rsid w:val="004A20D7"/>
    <w:rsid w:val="004A666F"/>
    <w:rsid w:val="004B1C82"/>
    <w:rsid w:val="004B4D2E"/>
    <w:rsid w:val="004B4D50"/>
    <w:rsid w:val="004B68C3"/>
    <w:rsid w:val="004B720A"/>
    <w:rsid w:val="004B7419"/>
    <w:rsid w:val="004C09F7"/>
    <w:rsid w:val="004C3974"/>
    <w:rsid w:val="004D2F96"/>
    <w:rsid w:val="004D5651"/>
    <w:rsid w:val="004D5720"/>
    <w:rsid w:val="004E0A5E"/>
    <w:rsid w:val="004E188A"/>
    <w:rsid w:val="004E1CCA"/>
    <w:rsid w:val="004E204F"/>
    <w:rsid w:val="004E2202"/>
    <w:rsid w:val="004E30BB"/>
    <w:rsid w:val="004E33C1"/>
    <w:rsid w:val="004E37F7"/>
    <w:rsid w:val="004E7C8A"/>
    <w:rsid w:val="004F18C2"/>
    <w:rsid w:val="004F1F88"/>
    <w:rsid w:val="004F6E17"/>
    <w:rsid w:val="00502B7A"/>
    <w:rsid w:val="00511D28"/>
    <w:rsid w:val="00512C5B"/>
    <w:rsid w:val="0051579A"/>
    <w:rsid w:val="00520C28"/>
    <w:rsid w:val="00523258"/>
    <w:rsid w:val="00523E5E"/>
    <w:rsid w:val="00524FFA"/>
    <w:rsid w:val="00525568"/>
    <w:rsid w:val="00532091"/>
    <w:rsid w:val="0054044C"/>
    <w:rsid w:val="0054119F"/>
    <w:rsid w:val="00542234"/>
    <w:rsid w:val="00546B80"/>
    <w:rsid w:val="00547A35"/>
    <w:rsid w:val="00550005"/>
    <w:rsid w:val="00554BCB"/>
    <w:rsid w:val="00557036"/>
    <w:rsid w:val="005607F1"/>
    <w:rsid w:val="0056255A"/>
    <w:rsid w:val="0056353D"/>
    <w:rsid w:val="00563D53"/>
    <w:rsid w:val="00571207"/>
    <w:rsid w:val="00571727"/>
    <w:rsid w:val="00573284"/>
    <w:rsid w:val="00586736"/>
    <w:rsid w:val="00586A00"/>
    <w:rsid w:val="00586D63"/>
    <w:rsid w:val="00590A41"/>
    <w:rsid w:val="00592096"/>
    <w:rsid w:val="00592766"/>
    <w:rsid w:val="00593161"/>
    <w:rsid w:val="00597063"/>
    <w:rsid w:val="00597EC9"/>
    <w:rsid w:val="005A368B"/>
    <w:rsid w:val="005A485F"/>
    <w:rsid w:val="005A7555"/>
    <w:rsid w:val="005B2661"/>
    <w:rsid w:val="005B3E8C"/>
    <w:rsid w:val="005B7DBA"/>
    <w:rsid w:val="005C0127"/>
    <w:rsid w:val="005C178F"/>
    <w:rsid w:val="005C1B7F"/>
    <w:rsid w:val="005C56A3"/>
    <w:rsid w:val="005C7AB1"/>
    <w:rsid w:val="005D3BE9"/>
    <w:rsid w:val="005E2BFF"/>
    <w:rsid w:val="005E70C2"/>
    <w:rsid w:val="005F5FC0"/>
    <w:rsid w:val="005F6D59"/>
    <w:rsid w:val="005F7E23"/>
    <w:rsid w:val="00601A24"/>
    <w:rsid w:val="00610327"/>
    <w:rsid w:val="00610EBC"/>
    <w:rsid w:val="006117AE"/>
    <w:rsid w:val="00611923"/>
    <w:rsid w:val="00611FFB"/>
    <w:rsid w:val="0061251D"/>
    <w:rsid w:val="00613399"/>
    <w:rsid w:val="00614AA1"/>
    <w:rsid w:val="006157B0"/>
    <w:rsid w:val="00622371"/>
    <w:rsid w:val="00626E49"/>
    <w:rsid w:val="00630C22"/>
    <w:rsid w:val="0063431B"/>
    <w:rsid w:val="00637E9B"/>
    <w:rsid w:val="0064459A"/>
    <w:rsid w:val="00644D79"/>
    <w:rsid w:val="0064724B"/>
    <w:rsid w:val="00647400"/>
    <w:rsid w:val="006509D7"/>
    <w:rsid w:val="006550A9"/>
    <w:rsid w:val="00655384"/>
    <w:rsid w:val="0065570D"/>
    <w:rsid w:val="00656D97"/>
    <w:rsid w:val="006603CA"/>
    <w:rsid w:val="006616BE"/>
    <w:rsid w:val="00663345"/>
    <w:rsid w:val="00666750"/>
    <w:rsid w:val="00667413"/>
    <w:rsid w:val="006751BC"/>
    <w:rsid w:val="00675E7E"/>
    <w:rsid w:val="00677A1B"/>
    <w:rsid w:val="00677C8A"/>
    <w:rsid w:val="0068116D"/>
    <w:rsid w:val="00682E21"/>
    <w:rsid w:val="0068447F"/>
    <w:rsid w:val="00685AF2"/>
    <w:rsid w:val="00691675"/>
    <w:rsid w:val="00691F8A"/>
    <w:rsid w:val="00696320"/>
    <w:rsid w:val="00696C38"/>
    <w:rsid w:val="006A0186"/>
    <w:rsid w:val="006A0AE2"/>
    <w:rsid w:val="006A2FEE"/>
    <w:rsid w:val="006A5F8A"/>
    <w:rsid w:val="006A6123"/>
    <w:rsid w:val="006A72C0"/>
    <w:rsid w:val="006B5909"/>
    <w:rsid w:val="006B5D0C"/>
    <w:rsid w:val="006C0453"/>
    <w:rsid w:val="006C0CE6"/>
    <w:rsid w:val="006C1E16"/>
    <w:rsid w:val="006C363A"/>
    <w:rsid w:val="006C3C36"/>
    <w:rsid w:val="006C6084"/>
    <w:rsid w:val="006C6C59"/>
    <w:rsid w:val="006C73DA"/>
    <w:rsid w:val="006C7497"/>
    <w:rsid w:val="006D179A"/>
    <w:rsid w:val="006D1F93"/>
    <w:rsid w:val="006D4A94"/>
    <w:rsid w:val="006D699F"/>
    <w:rsid w:val="006D7238"/>
    <w:rsid w:val="006E0158"/>
    <w:rsid w:val="006E1A1B"/>
    <w:rsid w:val="006E3078"/>
    <w:rsid w:val="006E3E1F"/>
    <w:rsid w:val="006E40CC"/>
    <w:rsid w:val="006F0143"/>
    <w:rsid w:val="006F01FF"/>
    <w:rsid w:val="006F0FD4"/>
    <w:rsid w:val="006F104E"/>
    <w:rsid w:val="006F1E18"/>
    <w:rsid w:val="006F3525"/>
    <w:rsid w:val="006F36BF"/>
    <w:rsid w:val="006F4944"/>
    <w:rsid w:val="006F59ED"/>
    <w:rsid w:val="006F7058"/>
    <w:rsid w:val="006F7876"/>
    <w:rsid w:val="0070211B"/>
    <w:rsid w:val="007043B8"/>
    <w:rsid w:val="0070794F"/>
    <w:rsid w:val="007119B6"/>
    <w:rsid w:val="00715345"/>
    <w:rsid w:val="00717B47"/>
    <w:rsid w:val="007245E9"/>
    <w:rsid w:val="00726205"/>
    <w:rsid w:val="00733CEF"/>
    <w:rsid w:val="00735FCA"/>
    <w:rsid w:val="00736B97"/>
    <w:rsid w:val="00740E6E"/>
    <w:rsid w:val="00741E39"/>
    <w:rsid w:val="00742D8F"/>
    <w:rsid w:val="00747250"/>
    <w:rsid w:val="007504D2"/>
    <w:rsid w:val="007532ED"/>
    <w:rsid w:val="00753C4F"/>
    <w:rsid w:val="0075747E"/>
    <w:rsid w:val="00761C29"/>
    <w:rsid w:val="007623C0"/>
    <w:rsid w:val="00762DF6"/>
    <w:rsid w:val="00762E02"/>
    <w:rsid w:val="007638D0"/>
    <w:rsid w:val="00766C7F"/>
    <w:rsid w:val="007673E6"/>
    <w:rsid w:val="00771CD9"/>
    <w:rsid w:val="00772EC5"/>
    <w:rsid w:val="00772FA0"/>
    <w:rsid w:val="00780A87"/>
    <w:rsid w:val="00781729"/>
    <w:rsid w:val="00782E2D"/>
    <w:rsid w:val="00783CB2"/>
    <w:rsid w:val="00785975"/>
    <w:rsid w:val="00785E33"/>
    <w:rsid w:val="00792A78"/>
    <w:rsid w:val="0079635B"/>
    <w:rsid w:val="007A0119"/>
    <w:rsid w:val="007B2A46"/>
    <w:rsid w:val="007B5A53"/>
    <w:rsid w:val="007B5E83"/>
    <w:rsid w:val="007B758E"/>
    <w:rsid w:val="007B78D2"/>
    <w:rsid w:val="007C665D"/>
    <w:rsid w:val="007C749C"/>
    <w:rsid w:val="007D3FC7"/>
    <w:rsid w:val="007D6347"/>
    <w:rsid w:val="007D68C8"/>
    <w:rsid w:val="007E1BBD"/>
    <w:rsid w:val="007E2038"/>
    <w:rsid w:val="007E232F"/>
    <w:rsid w:val="007E3D95"/>
    <w:rsid w:val="007E3EC8"/>
    <w:rsid w:val="007E43B7"/>
    <w:rsid w:val="007E567A"/>
    <w:rsid w:val="007E69E5"/>
    <w:rsid w:val="007E70A0"/>
    <w:rsid w:val="007F3C42"/>
    <w:rsid w:val="007F6B42"/>
    <w:rsid w:val="0080255B"/>
    <w:rsid w:val="008061EB"/>
    <w:rsid w:val="008131C1"/>
    <w:rsid w:val="0081742C"/>
    <w:rsid w:val="008219D9"/>
    <w:rsid w:val="008225B3"/>
    <w:rsid w:val="0082467D"/>
    <w:rsid w:val="00827B2C"/>
    <w:rsid w:val="0083108B"/>
    <w:rsid w:val="00837256"/>
    <w:rsid w:val="00840044"/>
    <w:rsid w:val="00840230"/>
    <w:rsid w:val="00842376"/>
    <w:rsid w:val="00843598"/>
    <w:rsid w:val="00845AC1"/>
    <w:rsid w:val="008549A4"/>
    <w:rsid w:val="008603C2"/>
    <w:rsid w:val="00860E2F"/>
    <w:rsid w:val="0086138E"/>
    <w:rsid w:val="00864534"/>
    <w:rsid w:val="008660EA"/>
    <w:rsid w:val="00870CD1"/>
    <w:rsid w:val="0087346C"/>
    <w:rsid w:val="008764FA"/>
    <w:rsid w:val="00876B81"/>
    <w:rsid w:val="008815B6"/>
    <w:rsid w:val="008832E4"/>
    <w:rsid w:val="008866BC"/>
    <w:rsid w:val="00891457"/>
    <w:rsid w:val="00894122"/>
    <w:rsid w:val="0089662A"/>
    <w:rsid w:val="00896C3B"/>
    <w:rsid w:val="008A0B78"/>
    <w:rsid w:val="008A3266"/>
    <w:rsid w:val="008A3FFF"/>
    <w:rsid w:val="008A51FD"/>
    <w:rsid w:val="008A5792"/>
    <w:rsid w:val="008A6BAF"/>
    <w:rsid w:val="008B05C2"/>
    <w:rsid w:val="008B0D21"/>
    <w:rsid w:val="008B19C7"/>
    <w:rsid w:val="008B28F6"/>
    <w:rsid w:val="008B2C98"/>
    <w:rsid w:val="008B500D"/>
    <w:rsid w:val="008B6045"/>
    <w:rsid w:val="008C0FB7"/>
    <w:rsid w:val="008C14D3"/>
    <w:rsid w:val="008D2D10"/>
    <w:rsid w:val="008D752A"/>
    <w:rsid w:val="008E163E"/>
    <w:rsid w:val="008E1CD7"/>
    <w:rsid w:val="008E261E"/>
    <w:rsid w:val="008E2A37"/>
    <w:rsid w:val="008E45B0"/>
    <w:rsid w:val="008E69DE"/>
    <w:rsid w:val="008E7B94"/>
    <w:rsid w:val="008F29EF"/>
    <w:rsid w:val="008F6139"/>
    <w:rsid w:val="008F7FC9"/>
    <w:rsid w:val="00913309"/>
    <w:rsid w:val="00913710"/>
    <w:rsid w:val="00926B5C"/>
    <w:rsid w:val="0093082F"/>
    <w:rsid w:val="0093139C"/>
    <w:rsid w:val="00936543"/>
    <w:rsid w:val="00936D1A"/>
    <w:rsid w:val="009405D4"/>
    <w:rsid w:val="00942271"/>
    <w:rsid w:val="009425CC"/>
    <w:rsid w:val="00945CC7"/>
    <w:rsid w:val="00946F7A"/>
    <w:rsid w:val="0095032E"/>
    <w:rsid w:val="0095556D"/>
    <w:rsid w:val="00956489"/>
    <w:rsid w:val="009565A0"/>
    <w:rsid w:val="009607B7"/>
    <w:rsid w:val="00965A59"/>
    <w:rsid w:val="0097168F"/>
    <w:rsid w:val="009730C0"/>
    <w:rsid w:val="009732F9"/>
    <w:rsid w:val="00973828"/>
    <w:rsid w:val="00973857"/>
    <w:rsid w:val="00976962"/>
    <w:rsid w:val="00976BA3"/>
    <w:rsid w:val="00976EEA"/>
    <w:rsid w:val="00983856"/>
    <w:rsid w:val="00984C7C"/>
    <w:rsid w:val="00984F43"/>
    <w:rsid w:val="00986972"/>
    <w:rsid w:val="00996902"/>
    <w:rsid w:val="009A2186"/>
    <w:rsid w:val="009A3B3C"/>
    <w:rsid w:val="009A500F"/>
    <w:rsid w:val="009A5838"/>
    <w:rsid w:val="009A6A2A"/>
    <w:rsid w:val="009B214C"/>
    <w:rsid w:val="009B6540"/>
    <w:rsid w:val="009B7901"/>
    <w:rsid w:val="009B7F2C"/>
    <w:rsid w:val="009C1068"/>
    <w:rsid w:val="009C2C84"/>
    <w:rsid w:val="009C2C92"/>
    <w:rsid w:val="009C3BF1"/>
    <w:rsid w:val="009C47D0"/>
    <w:rsid w:val="009C4E74"/>
    <w:rsid w:val="009C5E71"/>
    <w:rsid w:val="009C5EBD"/>
    <w:rsid w:val="009D065A"/>
    <w:rsid w:val="009E0C97"/>
    <w:rsid w:val="009E4DC9"/>
    <w:rsid w:val="009E68A9"/>
    <w:rsid w:val="009E71AB"/>
    <w:rsid w:val="009F06BE"/>
    <w:rsid w:val="009F4947"/>
    <w:rsid w:val="009F5D3D"/>
    <w:rsid w:val="00A11C92"/>
    <w:rsid w:val="00A16DC8"/>
    <w:rsid w:val="00A17766"/>
    <w:rsid w:val="00A2022D"/>
    <w:rsid w:val="00A205AB"/>
    <w:rsid w:val="00A21B6D"/>
    <w:rsid w:val="00A2340F"/>
    <w:rsid w:val="00A25262"/>
    <w:rsid w:val="00A27015"/>
    <w:rsid w:val="00A27442"/>
    <w:rsid w:val="00A30925"/>
    <w:rsid w:val="00A3707D"/>
    <w:rsid w:val="00A37CEB"/>
    <w:rsid w:val="00A41CCE"/>
    <w:rsid w:val="00A4310B"/>
    <w:rsid w:val="00A46489"/>
    <w:rsid w:val="00A51335"/>
    <w:rsid w:val="00A53264"/>
    <w:rsid w:val="00A614D5"/>
    <w:rsid w:val="00A64257"/>
    <w:rsid w:val="00A64296"/>
    <w:rsid w:val="00A649B1"/>
    <w:rsid w:val="00A7094D"/>
    <w:rsid w:val="00A70F25"/>
    <w:rsid w:val="00A715D1"/>
    <w:rsid w:val="00A72423"/>
    <w:rsid w:val="00A731D8"/>
    <w:rsid w:val="00A73D22"/>
    <w:rsid w:val="00A7622C"/>
    <w:rsid w:val="00A808CA"/>
    <w:rsid w:val="00A84914"/>
    <w:rsid w:val="00A849BD"/>
    <w:rsid w:val="00A91BDA"/>
    <w:rsid w:val="00A966DB"/>
    <w:rsid w:val="00A979A0"/>
    <w:rsid w:val="00AA2D15"/>
    <w:rsid w:val="00AA6306"/>
    <w:rsid w:val="00AB1F2F"/>
    <w:rsid w:val="00AB34E7"/>
    <w:rsid w:val="00AB63F2"/>
    <w:rsid w:val="00AB7BA6"/>
    <w:rsid w:val="00AC42DA"/>
    <w:rsid w:val="00AC4E0D"/>
    <w:rsid w:val="00AC6785"/>
    <w:rsid w:val="00AC682E"/>
    <w:rsid w:val="00AC69F9"/>
    <w:rsid w:val="00AD1605"/>
    <w:rsid w:val="00AD1DFC"/>
    <w:rsid w:val="00AD3D33"/>
    <w:rsid w:val="00AD5934"/>
    <w:rsid w:val="00AE00D1"/>
    <w:rsid w:val="00AE05AB"/>
    <w:rsid w:val="00AE1676"/>
    <w:rsid w:val="00AE2AC7"/>
    <w:rsid w:val="00AE5C33"/>
    <w:rsid w:val="00AE6A6D"/>
    <w:rsid w:val="00AE70EC"/>
    <w:rsid w:val="00AF0005"/>
    <w:rsid w:val="00AF0641"/>
    <w:rsid w:val="00AF39FE"/>
    <w:rsid w:val="00AF4A3B"/>
    <w:rsid w:val="00AF4B9A"/>
    <w:rsid w:val="00AF7103"/>
    <w:rsid w:val="00AF72C7"/>
    <w:rsid w:val="00B00DF6"/>
    <w:rsid w:val="00B05EB3"/>
    <w:rsid w:val="00B06360"/>
    <w:rsid w:val="00B10DD5"/>
    <w:rsid w:val="00B126AC"/>
    <w:rsid w:val="00B12E62"/>
    <w:rsid w:val="00B13D7A"/>
    <w:rsid w:val="00B16784"/>
    <w:rsid w:val="00B16FF4"/>
    <w:rsid w:val="00B20CDD"/>
    <w:rsid w:val="00B22FE7"/>
    <w:rsid w:val="00B23B98"/>
    <w:rsid w:val="00B25AEA"/>
    <w:rsid w:val="00B25C41"/>
    <w:rsid w:val="00B27D8E"/>
    <w:rsid w:val="00B27E5E"/>
    <w:rsid w:val="00B31010"/>
    <w:rsid w:val="00B3351E"/>
    <w:rsid w:val="00B34DAF"/>
    <w:rsid w:val="00B52D31"/>
    <w:rsid w:val="00B53F82"/>
    <w:rsid w:val="00B55D73"/>
    <w:rsid w:val="00B5638B"/>
    <w:rsid w:val="00B61F30"/>
    <w:rsid w:val="00B66D9E"/>
    <w:rsid w:val="00B67051"/>
    <w:rsid w:val="00B715EB"/>
    <w:rsid w:val="00B73AF7"/>
    <w:rsid w:val="00B77499"/>
    <w:rsid w:val="00B93862"/>
    <w:rsid w:val="00B96731"/>
    <w:rsid w:val="00BA7DB8"/>
    <w:rsid w:val="00BB0FE5"/>
    <w:rsid w:val="00BB2660"/>
    <w:rsid w:val="00BB2DB0"/>
    <w:rsid w:val="00BB4B2F"/>
    <w:rsid w:val="00BB628F"/>
    <w:rsid w:val="00BB6616"/>
    <w:rsid w:val="00BB7539"/>
    <w:rsid w:val="00BB791B"/>
    <w:rsid w:val="00BB7D6E"/>
    <w:rsid w:val="00BC79BE"/>
    <w:rsid w:val="00BD3C22"/>
    <w:rsid w:val="00BD61A4"/>
    <w:rsid w:val="00BD779F"/>
    <w:rsid w:val="00BE1BA9"/>
    <w:rsid w:val="00BE1BAE"/>
    <w:rsid w:val="00BE486C"/>
    <w:rsid w:val="00BE50A9"/>
    <w:rsid w:val="00BE69C4"/>
    <w:rsid w:val="00BF399A"/>
    <w:rsid w:val="00BF5AAF"/>
    <w:rsid w:val="00C03CE3"/>
    <w:rsid w:val="00C05A38"/>
    <w:rsid w:val="00C066B9"/>
    <w:rsid w:val="00C074B6"/>
    <w:rsid w:val="00C10ADC"/>
    <w:rsid w:val="00C11C6E"/>
    <w:rsid w:val="00C12944"/>
    <w:rsid w:val="00C14327"/>
    <w:rsid w:val="00C14ECC"/>
    <w:rsid w:val="00C15ECF"/>
    <w:rsid w:val="00C203F9"/>
    <w:rsid w:val="00C22D79"/>
    <w:rsid w:val="00C24F46"/>
    <w:rsid w:val="00C31628"/>
    <w:rsid w:val="00C31A39"/>
    <w:rsid w:val="00C41BBF"/>
    <w:rsid w:val="00C43143"/>
    <w:rsid w:val="00C44299"/>
    <w:rsid w:val="00C46D13"/>
    <w:rsid w:val="00C536D8"/>
    <w:rsid w:val="00C54574"/>
    <w:rsid w:val="00C55534"/>
    <w:rsid w:val="00C55BE2"/>
    <w:rsid w:val="00C62079"/>
    <w:rsid w:val="00C70CA7"/>
    <w:rsid w:val="00C764D0"/>
    <w:rsid w:val="00C76F16"/>
    <w:rsid w:val="00C809F6"/>
    <w:rsid w:val="00C825DA"/>
    <w:rsid w:val="00C84155"/>
    <w:rsid w:val="00C84334"/>
    <w:rsid w:val="00C86EBF"/>
    <w:rsid w:val="00C971BB"/>
    <w:rsid w:val="00CA013D"/>
    <w:rsid w:val="00CA1F96"/>
    <w:rsid w:val="00CA20BF"/>
    <w:rsid w:val="00CA213B"/>
    <w:rsid w:val="00CA3E9F"/>
    <w:rsid w:val="00CA7568"/>
    <w:rsid w:val="00CA7FD5"/>
    <w:rsid w:val="00CB1C69"/>
    <w:rsid w:val="00CB3FE3"/>
    <w:rsid w:val="00CB5CED"/>
    <w:rsid w:val="00CB675F"/>
    <w:rsid w:val="00CB6E58"/>
    <w:rsid w:val="00CC51A6"/>
    <w:rsid w:val="00CC7503"/>
    <w:rsid w:val="00CC7AE4"/>
    <w:rsid w:val="00CD02EC"/>
    <w:rsid w:val="00CD0504"/>
    <w:rsid w:val="00CD2C2C"/>
    <w:rsid w:val="00CE0F0B"/>
    <w:rsid w:val="00CE39DA"/>
    <w:rsid w:val="00CE5E40"/>
    <w:rsid w:val="00D019B6"/>
    <w:rsid w:val="00D06343"/>
    <w:rsid w:val="00D07117"/>
    <w:rsid w:val="00D1074B"/>
    <w:rsid w:val="00D12641"/>
    <w:rsid w:val="00D16030"/>
    <w:rsid w:val="00D20634"/>
    <w:rsid w:val="00D20BBC"/>
    <w:rsid w:val="00D22251"/>
    <w:rsid w:val="00D232B1"/>
    <w:rsid w:val="00D26429"/>
    <w:rsid w:val="00D302CB"/>
    <w:rsid w:val="00D3150E"/>
    <w:rsid w:val="00D365AA"/>
    <w:rsid w:val="00D418B7"/>
    <w:rsid w:val="00D43B9E"/>
    <w:rsid w:val="00D45063"/>
    <w:rsid w:val="00D47AA1"/>
    <w:rsid w:val="00D5001F"/>
    <w:rsid w:val="00D51A3C"/>
    <w:rsid w:val="00D5598F"/>
    <w:rsid w:val="00D56692"/>
    <w:rsid w:val="00D64C8E"/>
    <w:rsid w:val="00D64DEC"/>
    <w:rsid w:val="00D675AF"/>
    <w:rsid w:val="00D753B7"/>
    <w:rsid w:val="00D76440"/>
    <w:rsid w:val="00D80D6A"/>
    <w:rsid w:val="00D83443"/>
    <w:rsid w:val="00D83FE1"/>
    <w:rsid w:val="00D85348"/>
    <w:rsid w:val="00D92835"/>
    <w:rsid w:val="00D946F5"/>
    <w:rsid w:val="00D95F18"/>
    <w:rsid w:val="00D96417"/>
    <w:rsid w:val="00D9711C"/>
    <w:rsid w:val="00DA565D"/>
    <w:rsid w:val="00DA57FE"/>
    <w:rsid w:val="00DA6000"/>
    <w:rsid w:val="00DA7C96"/>
    <w:rsid w:val="00DB0E61"/>
    <w:rsid w:val="00DB1E89"/>
    <w:rsid w:val="00DB4A8C"/>
    <w:rsid w:val="00DC52D4"/>
    <w:rsid w:val="00DC6C25"/>
    <w:rsid w:val="00DD3632"/>
    <w:rsid w:val="00DD5485"/>
    <w:rsid w:val="00DE258D"/>
    <w:rsid w:val="00DE5022"/>
    <w:rsid w:val="00DE5E13"/>
    <w:rsid w:val="00DE6345"/>
    <w:rsid w:val="00DF1FF9"/>
    <w:rsid w:val="00DF5CAD"/>
    <w:rsid w:val="00E02662"/>
    <w:rsid w:val="00E05E35"/>
    <w:rsid w:val="00E07428"/>
    <w:rsid w:val="00E1169B"/>
    <w:rsid w:val="00E116F2"/>
    <w:rsid w:val="00E150FD"/>
    <w:rsid w:val="00E21B8D"/>
    <w:rsid w:val="00E22937"/>
    <w:rsid w:val="00E22FFA"/>
    <w:rsid w:val="00E233FF"/>
    <w:rsid w:val="00E23CDD"/>
    <w:rsid w:val="00E26A4F"/>
    <w:rsid w:val="00E27BBD"/>
    <w:rsid w:val="00E32393"/>
    <w:rsid w:val="00E350AE"/>
    <w:rsid w:val="00E372A8"/>
    <w:rsid w:val="00E3799C"/>
    <w:rsid w:val="00E37A83"/>
    <w:rsid w:val="00E40324"/>
    <w:rsid w:val="00E40674"/>
    <w:rsid w:val="00E408CB"/>
    <w:rsid w:val="00E408DA"/>
    <w:rsid w:val="00E43497"/>
    <w:rsid w:val="00E43C4C"/>
    <w:rsid w:val="00E44221"/>
    <w:rsid w:val="00E44732"/>
    <w:rsid w:val="00E4530C"/>
    <w:rsid w:val="00E454DB"/>
    <w:rsid w:val="00E45AC1"/>
    <w:rsid w:val="00E5255B"/>
    <w:rsid w:val="00E53762"/>
    <w:rsid w:val="00E53C71"/>
    <w:rsid w:val="00E61D59"/>
    <w:rsid w:val="00E66F94"/>
    <w:rsid w:val="00E74D11"/>
    <w:rsid w:val="00E7518B"/>
    <w:rsid w:val="00E75D82"/>
    <w:rsid w:val="00E823F8"/>
    <w:rsid w:val="00E8341E"/>
    <w:rsid w:val="00E83ED0"/>
    <w:rsid w:val="00E84748"/>
    <w:rsid w:val="00E939EB"/>
    <w:rsid w:val="00E93D1A"/>
    <w:rsid w:val="00E948AF"/>
    <w:rsid w:val="00EA122F"/>
    <w:rsid w:val="00EA160D"/>
    <w:rsid w:val="00EA3754"/>
    <w:rsid w:val="00EA6B13"/>
    <w:rsid w:val="00EB27EA"/>
    <w:rsid w:val="00EB44B9"/>
    <w:rsid w:val="00EB5F40"/>
    <w:rsid w:val="00EC33D9"/>
    <w:rsid w:val="00EC39A1"/>
    <w:rsid w:val="00ED421D"/>
    <w:rsid w:val="00ED64BE"/>
    <w:rsid w:val="00ED7E62"/>
    <w:rsid w:val="00EE1BF2"/>
    <w:rsid w:val="00EE6116"/>
    <w:rsid w:val="00EE6B7D"/>
    <w:rsid w:val="00EE74C5"/>
    <w:rsid w:val="00EF180A"/>
    <w:rsid w:val="00EF20A9"/>
    <w:rsid w:val="00EF2133"/>
    <w:rsid w:val="00EF2CD5"/>
    <w:rsid w:val="00EF3A7D"/>
    <w:rsid w:val="00EF3B23"/>
    <w:rsid w:val="00EF3D08"/>
    <w:rsid w:val="00EF3DEB"/>
    <w:rsid w:val="00EF4413"/>
    <w:rsid w:val="00EF455C"/>
    <w:rsid w:val="00EF5F72"/>
    <w:rsid w:val="00F00088"/>
    <w:rsid w:val="00F00D26"/>
    <w:rsid w:val="00F04BCF"/>
    <w:rsid w:val="00F054B9"/>
    <w:rsid w:val="00F11270"/>
    <w:rsid w:val="00F17F6B"/>
    <w:rsid w:val="00F2053C"/>
    <w:rsid w:val="00F21733"/>
    <w:rsid w:val="00F27D19"/>
    <w:rsid w:val="00F33B94"/>
    <w:rsid w:val="00F3515B"/>
    <w:rsid w:val="00F36356"/>
    <w:rsid w:val="00F4227B"/>
    <w:rsid w:val="00F423CC"/>
    <w:rsid w:val="00F42919"/>
    <w:rsid w:val="00F45DD6"/>
    <w:rsid w:val="00F47A34"/>
    <w:rsid w:val="00F51ED4"/>
    <w:rsid w:val="00F52521"/>
    <w:rsid w:val="00F52944"/>
    <w:rsid w:val="00F536AB"/>
    <w:rsid w:val="00F55441"/>
    <w:rsid w:val="00F60B9C"/>
    <w:rsid w:val="00F668E9"/>
    <w:rsid w:val="00F7151A"/>
    <w:rsid w:val="00F74F8A"/>
    <w:rsid w:val="00F77BBA"/>
    <w:rsid w:val="00F8366B"/>
    <w:rsid w:val="00F85662"/>
    <w:rsid w:val="00F90ECD"/>
    <w:rsid w:val="00F93A7E"/>
    <w:rsid w:val="00F9504F"/>
    <w:rsid w:val="00FA07FA"/>
    <w:rsid w:val="00FA0845"/>
    <w:rsid w:val="00FA4AD2"/>
    <w:rsid w:val="00FA5FFC"/>
    <w:rsid w:val="00FB1136"/>
    <w:rsid w:val="00FB491B"/>
    <w:rsid w:val="00FB629C"/>
    <w:rsid w:val="00FB6DEA"/>
    <w:rsid w:val="00FC1090"/>
    <w:rsid w:val="00FC5D22"/>
    <w:rsid w:val="00FD59BA"/>
    <w:rsid w:val="00FE037A"/>
    <w:rsid w:val="00FE1441"/>
    <w:rsid w:val="00FE434F"/>
    <w:rsid w:val="00FE5291"/>
    <w:rsid w:val="00FE68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C364C6"/>
  <w15:chartTrackingRefBased/>
  <w15:docId w15:val="{E8FDDBC2-B1DC-485C-AE9B-F2C950F1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B9E"/>
    <w:pPr>
      <w:keepNext/>
      <w:keepLines/>
      <w:numPr>
        <w:numId w:val="16"/>
      </w:numPr>
      <w:spacing w:before="240" w:after="0" w:line="256"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semiHidden/>
    <w:unhideWhenUsed/>
    <w:qFormat/>
    <w:rsid w:val="00D43B9E"/>
    <w:pPr>
      <w:keepNext/>
      <w:keepLines/>
      <w:numPr>
        <w:ilvl w:val="1"/>
        <w:numId w:val="16"/>
      </w:numPr>
      <w:spacing w:before="120" w:after="120" w:line="256"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unhideWhenUsed/>
    <w:qFormat/>
    <w:rsid w:val="00D43B9E"/>
    <w:pPr>
      <w:keepNext/>
      <w:keepLines/>
      <w:numPr>
        <w:ilvl w:val="2"/>
        <w:numId w:val="16"/>
      </w:numPr>
      <w:spacing w:before="40" w:after="120" w:line="256"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2D4"/>
    <w:pPr>
      <w:ind w:left="720"/>
      <w:contextualSpacing/>
    </w:pPr>
  </w:style>
  <w:style w:type="table" w:styleId="TableGrid">
    <w:name w:val="Table Grid"/>
    <w:basedOn w:val="TableNormal"/>
    <w:uiPriority w:val="39"/>
    <w:rsid w:val="006C60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0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119"/>
  </w:style>
  <w:style w:type="paragraph" w:styleId="Footer">
    <w:name w:val="footer"/>
    <w:basedOn w:val="Normal"/>
    <w:link w:val="FooterChar"/>
    <w:uiPriority w:val="99"/>
    <w:unhideWhenUsed/>
    <w:rsid w:val="007A0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119"/>
  </w:style>
  <w:style w:type="paragraph" w:styleId="BalloonText">
    <w:name w:val="Balloon Text"/>
    <w:basedOn w:val="Normal"/>
    <w:link w:val="BalloonTextChar"/>
    <w:uiPriority w:val="99"/>
    <w:semiHidden/>
    <w:unhideWhenUsed/>
    <w:rsid w:val="0059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161"/>
    <w:rPr>
      <w:rFonts w:ascii="Segoe UI" w:hAnsi="Segoe UI" w:cs="Segoe UI"/>
      <w:sz w:val="18"/>
      <w:szCs w:val="18"/>
    </w:rPr>
  </w:style>
  <w:style w:type="paragraph" w:styleId="NoSpacing">
    <w:name w:val="No Spacing"/>
    <w:uiPriority w:val="1"/>
    <w:qFormat/>
    <w:rsid w:val="00593161"/>
    <w:pPr>
      <w:spacing w:after="0" w:line="240" w:lineRule="auto"/>
      <w:jc w:val="both"/>
    </w:pPr>
    <w:rPr>
      <w:rFonts w:eastAsiaTheme="minorEastAsia"/>
      <w:lang w:val="en-GB" w:eastAsia="zh-CN"/>
    </w:rPr>
  </w:style>
  <w:style w:type="character" w:customStyle="1" w:styleId="Heading1Char">
    <w:name w:val="Heading 1 Char"/>
    <w:basedOn w:val="DefaultParagraphFont"/>
    <w:link w:val="Heading1"/>
    <w:uiPriority w:val="9"/>
    <w:rsid w:val="00D43B9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D43B9E"/>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D43B9E"/>
    <w:rPr>
      <w:rFonts w:asciiTheme="majorHAnsi" w:eastAsiaTheme="majorEastAsia" w:hAnsiTheme="majorHAnsi" w:cstheme="majorBidi"/>
      <w:color w:val="243F60" w:themeColor="accent1" w:themeShade="7F"/>
      <w:sz w:val="24"/>
      <w:szCs w:val="24"/>
      <w:lang w:val="en-GB"/>
    </w:rPr>
  </w:style>
  <w:style w:type="character" w:styleId="Hyperlink">
    <w:name w:val="Hyperlink"/>
    <w:basedOn w:val="DefaultParagraphFont"/>
    <w:uiPriority w:val="99"/>
    <w:unhideWhenUsed/>
    <w:rsid w:val="00D43B9E"/>
    <w:rPr>
      <w:color w:val="0000FF" w:themeColor="hyperlink"/>
      <w:u w:val="single"/>
    </w:rPr>
  </w:style>
  <w:style w:type="paragraph" w:styleId="FootnoteText">
    <w:name w:val="footnote text"/>
    <w:basedOn w:val="Normal"/>
    <w:link w:val="FootnoteTextChar"/>
    <w:uiPriority w:val="99"/>
    <w:semiHidden/>
    <w:unhideWhenUsed/>
    <w:rsid w:val="00D43B9E"/>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D43B9E"/>
    <w:rPr>
      <w:sz w:val="20"/>
      <w:szCs w:val="20"/>
      <w:lang w:val="en-GB"/>
    </w:rPr>
  </w:style>
  <w:style w:type="character" w:styleId="FootnoteReference">
    <w:name w:val="footnote reference"/>
    <w:basedOn w:val="DefaultParagraphFont"/>
    <w:uiPriority w:val="99"/>
    <w:semiHidden/>
    <w:unhideWhenUsed/>
    <w:rsid w:val="00D43B9E"/>
    <w:rPr>
      <w:vertAlign w:val="superscript"/>
    </w:rPr>
  </w:style>
  <w:style w:type="table" w:styleId="PlainTable3">
    <w:name w:val="Plain Table 3"/>
    <w:basedOn w:val="TableNormal"/>
    <w:uiPriority w:val="43"/>
    <w:rsid w:val="00D43B9E"/>
    <w:pPr>
      <w:spacing w:after="0" w:line="240" w:lineRule="auto"/>
    </w:pPr>
    <w:rPr>
      <w:lang w:val="en-GB"/>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43B9E"/>
    <w:pPr>
      <w:spacing w:after="0" w:line="240" w:lineRule="auto"/>
    </w:pPr>
    <w:rPr>
      <w:lang w:val="en-GB"/>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502B7A"/>
    <w:rPr>
      <w:sz w:val="16"/>
      <w:szCs w:val="16"/>
    </w:rPr>
  </w:style>
  <w:style w:type="paragraph" w:styleId="CommentText">
    <w:name w:val="annotation text"/>
    <w:basedOn w:val="Normal"/>
    <w:link w:val="CommentTextChar"/>
    <w:uiPriority w:val="99"/>
    <w:unhideWhenUsed/>
    <w:rsid w:val="00502B7A"/>
    <w:pPr>
      <w:spacing w:line="240" w:lineRule="auto"/>
    </w:pPr>
    <w:rPr>
      <w:sz w:val="20"/>
      <w:szCs w:val="20"/>
    </w:rPr>
  </w:style>
  <w:style w:type="character" w:customStyle="1" w:styleId="CommentTextChar">
    <w:name w:val="Comment Text Char"/>
    <w:basedOn w:val="DefaultParagraphFont"/>
    <w:link w:val="CommentText"/>
    <w:uiPriority w:val="99"/>
    <w:rsid w:val="00502B7A"/>
    <w:rPr>
      <w:sz w:val="20"/>
      <w:szCs w:val="20"/>
    </w:rPr>
  </w:style>
  <w:style w:type="paragraph" w:styleId="CommentSubject">
    <w:name w:val="annotation subject"/>
    <w:basedOn w:val="CommentText"/>
    <w:next w:val="CommentText"/>
    <w:link w:val="CommentSubjectChar"/>
    <w:uiPriority w:val="99"/>
    <w:semiHidden/>
    <w:unhideWhenUsed/>
    <w:rsid w:val="00502B7A"/>
    <w:rPr>
      <w:b/>
      <w:bCs/>
    </w:rPr>
  </w:style>
  <w:style w:type="character" w:customStyle="1" w:styleId="CommentSubjectChar">
    <w:name w:val="Comment Subject Char"/>
    <w:basedOn w:val="CommentTextChar"/>
    <w:link w:val="CommentSubject"/>
    <w:uiPriority w:val="99"/>
    <w:semiHidden/>
    <w:rsid w:val="00502B7A"/>
    <w:rPr>
      <w:b/>
      <w:bCs/>
      <w:sz w:val="20"/>
      <w:szCs w:val="20"/>
    </w:rPr>
  </w:style>
  <w:style w:type="character" w:customStyle="1" w:styleId="UnresolvedMention1">
    <w:name w:val="Unresolved Mention1"/>
    <w:basedOn w:val="DefaultParagraphFont"/>
    <w:uiPriority w:val="99"/>
    <w:semiHidden/>
    <w:unhideWhenUsed/>
    <w:rsid w:val="00FB6DEA"/>
    <w:rPr>
      <w:color w:val="605E5C"/>
      <w:shd w:val="clear" w:color="auto" w:fill="E1DFDD"/>
    </w:rPr>
  </w:style>
  <w:style w:type="paragraph" w:customStyle="1" w:styleId="Default">
    <w:name w:val="Default"/>
    <w:rsid w:val="003B6B67"/>
    <w:pPr>
      <w:autoSpaceDE w:val="0"/>
      <w:autoSpaceDN w:val="0"/>
      <w:adjustRightInd w:val="0"/>
      <w:spacing w:after="0" w:line="240" w:lineRule="auto"/>
    </w:pPr>
    <w:rPr>
      <w:rFonts w:ascii="Arial" w:hAnsi="Arial" w:cs="Arial"/>
      <w:color w:val="000000"/>
      <w:sz w:val="24"/>
      <w:szCs w:val="24"/>
      <w:lang w:val="en-GB"/>
    </w:rPr>
  </w:style>
  <w:style w:type="paragraph" w:styleId="Revision">
    <w:name w:val="Revision"/>
    <w:hidden/>
    <w:uiPriority w:val="99"/>
    <w:semiHidden/>
    <w:rsid w:val="00BF39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9609">
      <w:bodyDiv w:val="1"/>
      <w:marLeft w:val="0"/>
      <w:marRight w:val="0"/>
      <w:marTop w:val="0"/>
      <w:marBottom w:val="0"/>
      <w:divBdr>
        <w:top w:val="none" w:sz="0" w:space="0" w:color="auto"/>
        <w:left w:val="none" w:sz="0" w:space="0" w:color="auto"/>
        <w:bottom w:val="none" w:sz="0" w:space="0" w:color="auto"/>
        <w:right w:val="none" w:sz="0" w:space="0" w:color="auto"/>
      </w:divBdr>
    </w:div>
    <w:div w:id="140729655">
      <w:bodyDiv w:val="1"/>
      <w:marLeft w:val="0"/>
      <w:marRight w:val="0"/>
      <w:marTop w:val="0"/>
      <w:marBottom w:val="0"/>
      <w:divBdr>
        <w:top w:val="none" w:sz="0" w:space="0" w:color="auto"/>
        <w:left w:val="none" w:sz="0" w:space="0" w:color="auto"/>
        <w:bottom w:val="none" w:sz="0" w:space="0" w:color="auto"/>
        <w:right w:val="none" w:sz="0" w:space="0" w:color="auto"/>
      </w:divBdr>
    </w:div>
    <w:div w:id="146174181">
      <w:bodyDiv w:val="1"/>
      <w:marLeft w:val="0"/>
      <w:marRight w:val="0"/>
      <w:marTop w:val="0"/>
      <w:marBottom w:val="0"/>
      <w:divBdr>
        <w:top w:val="none" w:sz="0" w:space="0" w:color="auto"/>
        <w:left w:val="none" w:sz="0" w:space="0" w:color="auto"/>
        <w:bottom w:val="none" w:sz="0" w:space="0" w:color="auto"/>
        <w:right w:val="none" w:sz="0" w:space="0" w:color="auto"/>
      </w:divBdr>
    </w:div>
    <w:div w:id="610744440">
      <w:bodyDiv w:val="1"/>
      <w:marLeft w:val="0"/>
      <w:marRight w:val="0"/>
      <w:marTop w:val="0"/>
      <w:marBottom w:val="0"/>
      <w:divBdr>
        <w:top w:val="none" w:sz="0" w:space="0" w:color="auto"/>
        <w:left w:val="none" w:sz="0" w:space="0" w:color="auto"/>
        <w:bottom w:val="none" w:sz="0" w:space="0" w:color="auto"/>
        <w:right w:val="none" w:sz="0" w:space="0" w:color="auto"/>
      </w:divBdr>
    </w:div>
    <w:div w:id="744188086">
      <w:bodyDiv w:val="1"/>
      <w:marLeft w:val="0"/>
      <w:marRight w:val="0"/>
      <w:marTop w:val="0"/>
      <w:marBottom w:val="0"/>
      <w:divBdr>
        <w:top w:val="none" w:sz="0" w:space="0" w:color="auto"/>
        <w:left w:val="none" w:sz="0" w:space="0" w:color="auto"/>
        <w:bottom w:val="none" w:sz="0" w:space="0" w:color="auto"/>
        <w:right w:val="none" w:sz="0" w:space="0" w:color="auto"/>
      </w:divBdr>
    </w:div>
    <w:div w:id="832989056">
      <w:bodyDiv w:val="1"/>
      <w:marLeft w:val="0"/>
      <w:marRight w:val="0"/>
      <w:marTop w:val="0"/>
      <w:marBottom w:val="0"/>
      <w:divBdr>
        <w:top w:val="none" w:sz="0" w:space="0" w:color="auto"/>
        <w:left w:val="none" w:sz="0" w:space="0" w:color="auto"/>
        <w:bottom w:val="none" w:sz="0" w:space="0" w:color="auto"/>
        <w:right w:val="none" w:sz="0" w:space="0" w:color="auto"/>
      </w:divBdr>
    </w:div>
    <w:div w:id="1009331560">
      <w:bodyDiv w:val="1"/>
      <w:marLeft w:val="0"/>
      <w:marRight w:val="0"/>
      <w:marTop w:val="0"/>
      <w:marBottom w:val="0"/>
      <w:divBdr>
        <w:top w:val="none" w:sz="0" w:space="0" w:color="auto"/>
        <w:left w:val="none" w:sz="0" w:space="0" w:color="auto"/>
        <w:bottom w:val="none" w:sz="0" w:space="0" w:color="auto"/>
        <w:right w:val="none" w:sz="0" w:space="0" w:color="auto"/>
      </w:divBdr>
    </w:div>
    <w:div w:id="1977562099">
      <w:bodyDiv w:val="1"/>
      <w:marLeft w:val="0"/>
      <w:marRight w:val="0"/>
      <w:marTop w:val="0"/>
      <w:marBottom w:val="0"/>
      <w:divBdr>
        <w:top w:val="none" w:sz="0" w:space="0" w:color="auto"/>
        <w:left w:val="none" w:sz="0" w:space="0" w:color="auto"/>
        <w:bottom w:val="none" w:sz="0" w:space="0" w:color="auto"/>
        <w:right w:val="none" w:sz="0" w:space="0" w:color="auto"/>
      </w:divBdr>
    </w:div>
    <w:div w:id="208826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gss.civilservice.gov.uk/wp-content/uploads/2013/03/GSS-MAC-31-Booklet_3.pdf"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TaxCatchAll xmlns="e14115de-03ae-49b5-af01-31035404c456">
      <Value>9</Value>
    </TaxCatchAll>
    <RetentionType xmlns="f8cc70c5-6df4-4163-8f93-1fe30c314df0">Notify</RetentionType>
    <TaxKeywordTaxHTField xmlns="e14115de-03ae-49b5-af01-31035404c456">
      <Terms xmlns="http://schemas.microsoft.com/office/infopath/2007/PartnerControls"/>
    </TaxKeywordTaxHTField>
    <RetentionDate xmlns="f8cc70c5-6df4-4163-8f93-1fe30c314df0" xsi:nil="true"/>
    <_dlc_DocId xmlns="39b8a52d-d8b9-47ff-a8c3-c8931ddf8d60">D5PZWENCX5VS-172818178-31268</_dlc_DocId>
    <_dlc_DocIdUrl xmlns="39b8a52d-d8b9-47ff-a8c3-c8931ddf8d60">
      <Url>https://share.sp.ons.statistics.gov.uk/sites/MTH/Cen/_layouts/15/DocIdRedir.aspx?ID=D5PZWENCX5VS-172818178-31268</Url>
      <Description>D5PZWENCX5VS-172818178-31268</Description>
    </_dlc_DocIdUrl>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ONS Excel</p:Name>
  <p:Description/>
  <p:Statement/>
  <p:PolicyItems>
    <p:PolicyItem featureId="Microsoft.Office.RecordsManagement.PolicyFeatures.Expiration" staticId="0x010100666286101DC0444098F7A6B227066CD7|2057524105" UniqueId="c6728b3a-965a-4562-ad3e-4529d4b6b71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6.xml><?xml version="1.0" encoding="utf-8"?>
<?mso-contentType ?>
<SharedContentType xmlns="Microsoft.SharePoint.Taxonomy.ContentTypeSync" SourceId="a7dd7a64-f5c5-4f30-b8c4-f5626f639d1b" ContentTypeId="0x010100666286101DC0444098F7A6B227066CD7" PreviousValue="false"/>
</file>

<file path=customXml/item7.xml><?xml version="1.0" encoding="utf-8"?>
<ct:contentTypeSchema xmlns:ct="http://schemas.microsoft.com/office/2006/metadata/contentType" xmlns:ma="http://schemas.microsoft.com/office/2006/metadata/properties/metaAttributes" ct:_="" ma:_="" ma:contentTypeName="ONS Excel" ma:contentTypeID="0x010100666286101DC0444098F7A6B227066CD700584CB79E36BB1349A5AEF8524187EF03" ma:contentTypeVersion="51" ma:contentTypeDescription="Create a new speadsheet." ma:contentTypeScope="" ma:versionID="e56bab066212abc75336b256cefb0bb7">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815E5-97D0-4A25-910C-8B390F122189}">
  <ds:schemaRefs>
    <ds:schemaRef ds:uri="http://schemas.microsoft.com/office/2006/metadata/customXsn"/>
  </ds:schemaRefs>
</ds:datastoreItem>
</file>

<file path=customXml/itemProps2.xml><?xml version="1.0" encoding="utf-8"?>
<ds:datastoreItem xmlns:ds="http://schemas.openxmlformats.org/officeDocument/2006/customXml" ds:itemID="{2AFD8A2E-21ED-48CC-92FE-F31118D12788}">
  <ds:schemaRefs>
    <ds:schemaRef ds:uri="e14115de-03ae-49b5-af01-31035404c456"/>
    <ds:schemaRef ds:uri="http://schemas.microsoft.com/sharepoint/v3"/>
    <ds:schemaRef ds:uri="http://purl.org/dc/terms/"/>
    <ds:schemaRef ds:uri="http://schemas.openxmlformats.org/package/2006/metadata/core-properties"/>
    <ds:schemaRef ds:uri="http://purl.org/dc/dcmitype/"/>
    <ds:schemaRef ds:uri="39b8a52d-d8b9-47ff-a8c3-c8931ddf8d60"/>
    <ds:schemaRef ds:uri="http://schemas.microsoft.com/office/infopath/2007/PartnerControls"/>
    <ds:schemaRef ds:uri="http://schemas.microsoft.com/office/2006/documentManagement/types"/>
    <ds:schemaRef ds:uri="http://schemas.microsoft.com/office/2006/metadata/properties"/>
    <ds:schemaRef ds:uri="f8cc70c5-6df4-4163-8f93-1fe30c314df0"/>
    <ds:schemaRef ds:uri="http://www.w3.org/XML/1998/namespace"/>
    <ds:schemaRef ds:uri="http://purl.org/dc/elements/1.1/"/>
  </ds:schemaRefs>
</ds:datastoreItem>
</file>

<file path=customXml/itemProps3.xml><?xml version="1.0" encoding="utf-8"?>
<ds:datastoreItem xmlns:ds="http://schemas.openxmlformats.org/officeDocument/2006/customXml" ds:itemID="{20FBF4F6-1823-406E-828E-FF0A7FFFC186}">
  <ds:schemaRefs>
    <ds:schemaRef ds:uri="http://schemas.microsoft.com/sharepoint/events"/>
  </ds:schemaRefs>
</ds:datastoreItem>
</file>

<file path=customXml/itemProps4.xml><?xml version="1.0" encoding="utf-8"?>
<ds:datastoreItem xmlns:ds="http://schemas.openxmlformats.org/officeDocument/2006/customXml" ds:itemID="{DEEE546C-2C5F-4EF7-A378-26CD7E88F0D4}">
  <ds:schemaRefs>
    <ds:schemaRef ds:uri="http://schemas.microsoft.com/sharepoint/v3/contenttype/forms"/>
  </ds:schemaRefs>
</ds:datastoreItem>
</file>

<file path=customXml/itemProps5.xml><?xml version="1.0" encoding="utf-8"?>
<ds:datastoreItem xmlns:ds="http://schemas.openxmlformats.org/officeDocument/2006/customXml" ds:itemID="{7DFB1945-61AF-473D-A119-61186294E0E9}">
  <ds:schemaRefs>
    <ds:schemaRef ds:uri="office.server.policy"/>
  </ds:schemaRefs>
</ds:datastoreItem>
</file>

<file path=customXml/itemProps6.xml><?xml version="1.0" encoding="utf-8"?>
<ds:datastoreItem xmlns:ds="http://schemas.openxmlformats.org/officeDocument/2006/customXml" ds:itemID="{195AE35B-9E93-40AB-888A-D66DE246CF6C}">
  <ds:schemaRefs>
    <ds:schemaRef ds:uri="Microsoft.SharePoint.Taxonomy.ContentTypeSync"/>
  </ds:schemaRefs>
</ds:datastoreItem>
</file>

<file path=customXml/itemProps7.xml><?xml version="1.0" encoding="utf-8"?>
<ds:datastoreItem xmlns:ds="http://schemas.openxmlformats.org/officeDocument/2006/customXml" ds:itemID="{32AC3E0C-112E-41E8-8518-7B957D00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f8cc70c5-6df4-4163-8f93-1fe30c314df0"/>
    <ds:schemaRef ds:uri="39b8a52d-d8b9-47ff-a8c3-c8931ddf8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2A2F2B2-71D5-466A-AF4A-97A2847F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7122</Words>
  <Characters>40601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Whitworth, Alison</dc:creator>
  <cp:keywords/>
  <dc:description/>
  <cp:lastModifiedBy>Piller, Kirsten</cp:lastModifiedBy>
  <cp:revision>4</cp:revision>
  <dcterms:created xsi:type="dcterms:W3CDTF">2019-11-06T14:10:00Z</dcterms:created>
  <dcterms:modified xsi:type="dcterms:W3CDTF">2020-06-02T11:03:00Z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0x010100666286101DC0444098F7A6B227066CD700584CB79E36BB1349A5AEF8524187EF03</vt:lpwstr>
  </property>
  <property fmtid="{D5CDD505-2E9C-101B-9397-08002B2CF9AE}" pid="3" name="IsMyDocuments">
    <vt:bool>true</vt:bool>
  </property>
  <property fmtid="{D5CDD505-2E9C-101B-9397-08002B2CF9AE}" pid="4" name="_dlc_policyId">
    <vt:lpwstr>0x010100666286101DC0444098F7A6B227066CD7|2057524105</vt:lpwstr>
  </property>
  <property fmtid="{D5CDD505-2E9C-101B-9397-08002B2CF9AE}" pid="5"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6" name="_dlc_DocIdItemGuid">
    <vt:lpwstr>fa11fcc8-c8ea-4d9d-b2d3-699f72cd7b1d</vt:lpwstr>
  </property>
  <property fmtid="{D5CDD505-2E9C-101B-9397-08002B2CF9AE}" pid="7" name="TaxKeyword">
    <vt:lpwstr/>
  </property>
  <property fmtid="{D5CDD505-2E9C-101B-9397-08002B2CF9AE}" pid="8" name="RecordType">
    <vt:lpwstr>9;#Meeting papers (inc. agendas minutes etc)|ce21491e-24bf-490d-8d19-382be1f405d0</vt:lpwstr>
  </property>
</Properties>
</file>