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3D7B" w14:textId="3026341D" w:rsidR="006735EB" w:rsidRPr="007D4A4D" w:rsidRDefault="007D4A4D" w:rsidP="00F60670">
      <w:pPr>
        <w:spacing w:after="0"/>
        <w:rPr>
          <w:rFonts w:cstheme="minorHAnsi"/>
          <w:b/>
          <w:bCs/>
          <w:sz w:val="28"/>
          <w:szCs w:val="28"/>
        </w:rPr>
      </w:pPr>
      <w:bookmarkStart w:id="0" w:name="_GoBack"/>
      <w:bookmarkEnd w:id="0"/>
      <w:r w:rsidRPr="007D4A4D">
        <w:rPr>
          <w:rFonts w:cstheme="minorHAnsi"/>
          <w:b/>
          <w:bCs/>
          <w:sz w:val="28"/>
          <w:szCs w:val="28"/>
        </w:rPr>
        <w:t xml:space="preserve">Design of </w:t>
      </w:r>
      <w:r w:rsidR="006C7B25">
        <w:rPr>
          <w:rFonts w:cstheme="minorHAnsi"/>
          <w:b/>
          <w:bCs/>
          <w:sz w:val="28"/>
          <w:szCs w:val="28"/>
        </w:rPr>
        <w:t xml:space="preserve">Address Frame, </w:t>
      </w:r>
      <w:r w:rsidRPr="007D4A4D">
        <w:rPr>
          <w:rFonts w:cstheme="minorHAnsi"/>
          <w:b/>
          <w:bCs/>
          <w:sz w:val="28"/>
          <w:szCs w:val="28"/>
        </w:rPr>
        <w:t xml:space="preserve">Collection and </w:t>
      </w:r>
      <w:r w:rsidR="006C7B25">
        <w:rPr>
          <w:rFonts w:cstheme="minorHAnsi"/>
          <w:b/>
          <w:bCs/>
          <w:sz w:val="28"/>
          <w:szCs w:val="28"/>
        </w:rPr>
        <w:t>Coverage Assessment and Adjustment</w:t>
      </w:r>
      <w:r w:rsidRPr="007D4A4D">
        <w:rPr>
          <w:rFonts w:cstheme="minorHAnsi"/>
          <w:b/>
          <w:bCs/>
          <w:sz w:val="28"/>
          <w:szCs w:val="28"/>
        </w:rPr>
        <w:t xml:space="preserve"> of Communal Establishments in 2021 Census</w:t>
      </w:r>
    </w:p>
    <w:p w14:paraId="47025D67" w14:textId="6D6696C6" w:rsidR="007D4A4D" w:rsidRPr="003A7ACD" w:rsidRDefault="007D4A4D" w:rsidP="00F60670">
      <w:pPr>
        <w:spacing w:after="0"/>
        <w:rPr>
          <w:rFonts w:cstheme="minorHAnsi"/>
        </w:rPr>
      </w:pPr>
      <w:r>
        <w:rPr>
          <w:rFonts w:cstheme="minorHAnsi"/>
        </w:rPr>
        <w:t>Orlaith Fraser, Cal Ghee. 2021 Census Statistical Design</w:t>
      </w:r>
      <w:r w:rsidR="006C7B25">
        <w:rPr>
          <w:rFonts w:cstheme="minorHAnsi"/>
        </w:rPr>
        <w:t>, August 2021</w:t>
      </w:r>
    </w:p>
    <w:p w14:paraId="46DE99D8" w14:textId="1FC128F5" w:rsidR="00FF48B2" w:rsidRDefault="00FF48B2" w:rsidP="00F60670">
      <w:pPr>
        <w:spacing w:after="0"/>
        <w:rPr>
          <w:rFonts w:cstheme="minorHAnsi"/>
        </w:rPr>
      </w:pPr>
    </w:p>
    <w:p w14:paraId="504CEFDB" w14:textId="533F5D76" w:rsidR="00ED4B31" w:rsidRPr="00ED4B31" w:rsidRDefault="00C557F2" w:rsidP="00ED4B31">
      <w:pPr>
        <w:spacing w:after="0"/>
        <w:rPr>
          <w:lang w:val="en-US"/>
        </w:rPr>
      </w:pPr>
      <w:r w:rsidRPr="007D4A4D">
        <w:rPr>
          <w:rFonts w:cstheme="minorHAnsi"/>
          <w:b/>
          <w:bCs/>
          <w:sz w:val="24"/>
          <w:szCs w:val="24"/>
        </w:rPr>
        <w:t>Contents</w:t>
      </w:r>
    </w:p>
    <w:p w14:paraId="53DC743B" w14:textId="04DB3E4D" w:rsidR="00BB7D6C" w:rsidRDefault="00EF3CB4" w:rsidP="00F60670">
      <w:pPr>
        <w:spacing w:after="0"/>
        <w:rPr>
          <w:rFonts w:cstheme="minorHAnsi"/>
        </w:rPr>
      </w:pPr>
      <w:r>
        <w:rPr>
          <w:rFonts w:cstheme="minorHAnsi"/>
        </w:rPr>
        <w:t>Purpose of this paper</w:t>
      </w:r>
      <w:r w:rsidR="00ED4B31">
        <w:rPr>
          <w:rFonts w:cstheme="minorHAnsi"/>
        </w:rPr>
        <w:ptab w:relativeTo="margin" w:alignment="right" w:leader="dot"/>
      </w:r>
      <w:r w:rsidR="00ED4B31">
        <w:rPr>
          <w:rFonts w:cstheme="minorHAnsi"/>
        </w:rPr>
        <w:t>1</w:t>
      </w:r>
    </w:p>
    <w:p w14:paraId="28B0D618" w14:textId="02F8B0EF" w:rsidR="007D4A4D" w:rsidRDefault="00727059" w:rsidP="007D4A4D">
      <w:pPr>
        <w:spacing w:after="0"/>
        <w:rPr>
          <w:rFonts w:cstheme="minorHAnsi"/>
        </w:rPr>
      </w:pPr>
      <w:r>
        <w:rPr>
          <w:rFonts w:cstheme="minorHAnsi"/>
        </w:rPr>
        <w:t xml:space="preserve">Introduction </w:t>
      </w:r>
      <w:r w:rsidR="00ED4B31">
        <w:rPr>
          <w:rFonts w:cstheme="minorHAnsi"/>
        </w:rPr>
        <w:ptab w:relativeTo="margin" w:alignment="right" w:leader="dot"/>
      </w:r>
      <w:r w:rsidR="00D65985">
        <w:rPr>
          <w:rFonts w:cstheme="minorHAnsi"/>
        </w:rPr>
        <w:t>2</w:t>
      </w:r>
    </w:p>
    <w:p w14:paraId="48FB992F" w14:textId="39B9959E" w:rsidR="00F60670" w:rsidRDefault="00727059" w:rsidP="00F60670">
      <w:pPr>
        <w:spacing w:after="0"/>
        <w:rPr>
          <w:rFonts w:cstheme="minorHAnsi"/>
        </w:rPr>
      </w:pPr>
      <w:r>
        <w:rPr>
          <w:rFonts w:cstheme="minorHAnsi"/>
        </w:rPr>
        <w:t xml:space="preserve">Addressing </w:t>
      </w:r>
      <w:r w:rsidR="00ED4B31">
        <w:rPr>
          <w:rFonts w:cstheme="minorHAnsi"/>
        </w:rPr>
        <w:ptab w:relativeTo="margin" w:alignment="right" w:leader="dot"/>
      </w:r>
      <w:r>
        <w:rPr>
          <w:rFonts w:cstheme="minorHAnsi"/>
        </w:rPr>
        <w:t>4</w:t>
      </w:r>
    </w:p>
    <w:p w14:paraId="0328C730" w14:textId="56F716A8" w:rsidR="006735EB" w:rsidRDefault="00727059" w:rsidP="00F60670">
      <w:pPr>
        <w:spacing w:after="0"/>
        <w:rPr>
          <w:rFonts w:cstheme="minorHAnsi"/>
        </w:rPr>
      </w:pPr>
      <w:r>
        <w:rPr>
          <w:rFonts w:cstheme="minorHAnsi"/>
        </w:rPr>
        <w:t>Collection Operation</w:t>
      </w:r>
      <w:r w:rsidR="00ED4B31">
        <w:rPr>
          <w:rFonts w:cstheme="minorHAnsi"/>
        </w:rPr>
        <w:ptab w:relativeTo="margin" w:alignment="right" w:leader="dot"/>
      </w:r>
      <w:r>
        <w:rPr>
          <w:rFonts w:cstheme="minorHAnsi"/>
        </w:rPr>
        <w:t>5</w:t>
      </w:r>
    </w:p>
    <w:p w14:paraId="602D047E" w14:textId="15230BDE" w:rsidR="00727059" w:rsidRDefault="00727059" w:rsidP="00F60670">
      <w:pPr>
        <w:spacing w:after="0"/>
        <w:rPr>
          <w:rFonts w:cstheme="minorHAnsi"/>
        </w:rPr>
      </w:pPr>
      <w:r>
        <w:rPr>
          <w:rFonts w:cstheme="minorHAnsi"/>
        </w:rPr>
        <w:tab/>
        <w:t xml:space="preserve">Wave of Contact for CEs and SPGs </w:t>
      </w:r>
      <w:r>
        <w:rPr>
          <w:rFonts w:cstheme="minorHAnsi"/>
        </w:rPr>
        <w:ptab w:relativeTo="margin" w:alignment="right" w:leader="dot"/>
      </w:r>
      <w:r>
        <w:rPr>
          <w:rFonts w:cstheme="minorHAnsi"/>
        </w:rPr>
        <w:t>5</w:t>
      </w:r>
    </w:p>
    <w:p w14:paraId="7C8AF685" w14:textId="06BEF210" w:rsidR="00727059" w:rsidRDefault="00727059" w:rsidP="00F60670">
      <w:pPr>
        <w:spacing w:after="0"/>
        <w:rPr>
          <w:rFonts w:cstheme="minorHAnsi"/>
        </w:rPr>
      </w:pPr>
      <w:r>
        <w:rPr>
          <w:rFonts w:cstheme="minorHAnsi"/>
        </w:rPr>
        <w:tab/>
        <w:t xml:space="preserve">Response Rate Targets </w:t>
      </w:r>
      <w:r>
        <w:rPr>
          <w:rFonts w:cstheme="minorHAnsi"/>
        </w:rPr>
        <w:ptab w:relativeTo="margin" w:alignment="right" w:leader="dot"/>
      </w:r>
      <w:r>
        <w:rPr>
          <w:rFonts w:cstheme="minorHAnsi"/>
        </w:rPr>
        <w:t>6</w:t>
      </w:r>
    </w:p>
    <w:p w14:paraId="33C91B62" w14:textId="5201A609" w:rsidR="006C7B25" w:rsidRPr="006C7B25" w:rsidRDefault="00727059" w:rsidP="00F60670">
      <w:pPr>
        <w:spacing w:after="0"/>
        <w:rPr>
          <w:rFonts w:cstheme="minorHAnsi"/>
        </w:rPr>
      </w:pPr>
      <w:r>
        <w:rPr>
          <w:rFonts w:cstheme="minorHAnsi"/>
        </w:rPr>
        <w:tab/>
      </w:r>
      <w:r w:rsidR="006C7B25">
        <w:rPr>
          <w:rFonts w:cstheme="minorHAnsi"/>
        </w:rPr>
        <w:t xml:space="preserve">CE and SPG Return Profiles </w:t>
      </w:r>
      <w:r w:rsidR="006C7B25">
        <w:rPr>
          <w:rFonts w:cstheme="minorHAnsi"/>
        </w:rPr>
        <w:ptab w:relativeTo="margin" w:alignment="right" w:leader="dot"/>
      </w:r>
      <w:r w:rsidR="006C7B25">
        <w:rPr>
          <w:rFonts w:cstheme="minorHAnsi"/>
        </w:rPr>
        <w:t>7</w:t>
      </w:r>
    </w:p>
    <w:p w14:paraId="251A8442" w14:textId="16C5C414" w:rsidR="00C557F2" w:rsidRDefault="00C557F2" w:rsidP="00F60670">
      <w:pPr>
        <w:spacing w:after="0"/>
        <w:rPr>
          <w:rFonts w:cstheme="minorHAnsi"/>
        </w:rPr>
      </w:pPr>
      <w:r>
        <w:rPr>
          <w:rFonts w:cstheme="minorHAnsi"/>
        </w:rPr>
        <w:t>Coverage Estimation</w:t>
      </w:r>
      <w:r w:rsidR="006C7B25">
        <w:rPr>
          <w:rFonts w:cstheme="minorHAnsi"/>
        </w:rPr>
        <w:t xml:space="preserve"> </w:t>
      </w:r>
      <w:r w:rsidR="006C7B25">
        <w:rPr>
          <w:rFonts w:cstheme="minorHAnsi"/>
        </w:rPr>
        <w:ptab w:relativeTo="margin" w:alignment="right" w:leader="dot"/>
      </w:r>
      <w:r w:rsidR="006C7B25">
        <w:rPr>
          <w:rFonts w:cstheme="minorHAnsi"/>
        </w:rPr>
        <w:t>9</w:t>
      </w:r>
    </w:p>
    <w:p w14:paraId="2C171DB9" w14:textId="2494F002" w:rsidR="009C625D" w:rsidRDefault="009C625D" w:rsidP="00F60670">
      <w:pPr>
        <w:spacing w:after="0"/>
        <w:rPr>
          <w:rFonts w:cstheme="minorHAnsi"/>
        </w:rPr>
      </w:pPr>
      <w:r>
        <w:rPr>
          <w:rFonts w:cstheme="minorHAnsi"/>
        </w:rPr>
        <w:tab/>
        <w:t>Small CEs</w:t>
      </w:r>
      <w:r w:rsidR="006C7B25">
        <w:rPr>
          <w:rFonts w:cstheme="minorHAnsi"/>
        </w:rPr>
        <w:t xml:space="preserve"> </w:t>
      </w:r>
      <w:r w:rsidR="00ED4B31">
        <w:rPr>
          <w:rFonts w:cstheme="minorHAnsi"/>
        </w:rPr>
        <w:ptab w:relativeTo="margin" w:alignment="right" w:leader="dot"/>
      </w:r>
      <w:r w:rsidR="006C7B25">
        <w:rPr>
          <w:rFonts w:cstheme="minorHAnsi"/>
        </w:rPr>
        <w:t>9</w:t>
      </w:r>
    </w:p>
    <w:p w14:paraId="09893370" w14:textId="1B7AE63A" w:rsidR="009C625D" w:rsidRDefault="009C625D" w:rsidP="00F60670">
      <w:pPr>
        <w:spacing w:after="0"/>
        <w:rPr>
          <w:rFonts w:cstheme="minorHAnsi"/>
        </w:rPr>
      </w:pPr>
      <w:r>
        <w:rPr>
          <w:rFonts w:cstheme="minorHAnsi"/>
        </w:rPr>
        <w:tab/>
        <w:t>Large CEs</w:t>
      </w:r>
      <w:r w:rsidR="006C7B25">
        <w:rPr>
          <w:rFonts w:cstheme="minorHAnsi"/>
        </w:rPr>
        <w:t xml:space="preserve"> </w:t>
      </w:r>
      <w:r w:rsidR="006C7B25">
        <w:rPr>
          <w:rFonts w:cstheme="minorHAnsi"/>
        </w:rPr>
        <w:ptab w:relativeTo="margin" w:alignment="right" w:leader="dot"/>
      </w:r>
      <w:r w:rsidR="006C7B25">
        <w:rPr>
          <w:rFonts w:cstheme="minorHAnsi"/>
        </w:rPr>
        <w:t>9</w:t>
      </w:r>
    </w:p>
    <w:p w14:paraId="07ED95DB" w14:textId="54DF0E58" w:rsidR="00BB7D6C" w:rsidRDefault="00BB7D6C" w:rsidP="00F60670">
      <w:pPr>
        <w:spacing w:after="0"/>
        <w:rPr>
          <w:rFonts w:cstheme="minorHAnsi"/>
        </w:rPr>
      </w:pPr>
      <w:r>
        <w:rPr>
          <w:rFonts w:cstheme="minorHAnsi"/>
        </w:rPr>
        <w:tab/>
      </w:r>
      <w:r>
        <w:rPr>
          <w:rFonts w:cstheme="minorHAnsi"/>
        </w:rPr>
        <w:tab/>
        <w:t>Capacity threshold</w:t>
      </w:r>
      <w:r w:rsidR="00ED4B31">
        <w:rPr>
          <w:rFonts w:cstheme="minorHAnsi"/>
        </w:rPr>
        <w:ptab w:relativeTo="margin" w:alignment="right" w:leader="dot"/>
      </w:r>
      <w:r w:rsidR="006C7B25">
        <w:rPr>
          <w:rFonts w:cstheme="minorHAnsi"/>
        </w:rPr>
        <w:t>9</w:t>
      </w:r>
    </w:p>
    <w:p w14:paraId="2C3F831A" w14:textId="162B0A6C" w:rsidR="00BB7D6C" w:rsidRDefault="00BB7D6C" w:rsidP="00F60670">
      <w:pPr>
        <w:spacing w:after="0"/>
        <w:rPr>
          <w:rFonts w:cstheme="minorHAnsi"/>
        </w:rPr>
      </w:pPr>
      <w:r>
        <w:rPr>
          <w:rFonts w:cstheme="minorHAnsi"/>
        </w:rPr>
        <w:tab/>
      </w:r>
      <w:r>
        <w:rPr>
          <w:rFonts w:cstheme="minorHAnsi"/>
        </w:rPr>
        <w:tab/>
        <w:t>Prioritisation for investigating and adjusting</w:t>
      </w:r>
      <w:r w:rsidR="00ED4B31">
        <w:rPr>
          <w:rFonts w:cstheme="minorHAnsi"/>
        </w:rPr>
        <w:ptab w:relativeTo="margin" w:alignment="right" w:leader="dot"/>
      </w:r>
      <w:r w:rsidR="006C7B25">
        <w:rPr>
          <w:rFonts w:cstheme="minorHAnsi"/>
        </w:rPr>
        <w:t>10</w:t>
      </w:r>
    </w:p>
    <w:p w14:paraId="65D370E5" w14:textId="61EC10F6" w:rsidR="009C625D" w:rsidRDefault="009C625D" w:rsidP="00BB7D6C">
      <w:pPr>
        <w:spacing w:after="0"/>
        <w:ind w:left="720" w:firstLine="720"/>
        <w:rPr>
          <w:rFonts w:cstheme="minorHAnsi"/>
        </w:rPr>
      </w:pPr>
      <w:r>
        <w:rPr>
          <w:rFonts w:cstheme="minorHAnsi"/>
        </w:rPr>
        <w:t>Using alternative sources to estimate large CE population</w:t>
      </w:r>
      <w:r w:rsidR="00ED4B31">
        <w:rPr>
          <w:rFonts w:cstheme="minorHAnsi"/>
        </w:rPr>
        <w:ptab w:relativeTo="margin" w:alignment="right" w:leader="dot"/>
      </w:r>
      <w:r w:rsidR="006C7B25">
        <w:rPr>
          <w:rFonts w:cstheme="minorHAnsi"/>
        </w:rPr>
        <w:t>10</w:t>
      </w:r>
    </w:p>
    <w:p w14:paraId="760BA2AB" w14:textId="46CD3DC7" w:rsidR="009C625D" w:rsidRDefault="009C625D" w:rsidP="00F60670">
      <w:pPr>
        <w:spacing w:after="0"/>
        <w:rPr>
          <w:rFonts w:cstheme="minorHAnsi"/>
        </w:rPr>
      </w:pPr>
      <w:r>
        <w:rPr>
          <w:rFonts w:cstheme="minorHAnsi"/>
        </w:rPr>
        <w:t>Coverage Adjustment</w:t>
      </w:r>
      <w:r w:rsidR="00BB7D6C">
        <w:rPr>
          <w:rFonts w:cstheme="minorHAnsi"/>
        </w:rPr>
        <w:t xml:space="preserve"> – use of donors</w:t>
      </w:r>
      <w:r w:rsidR="00ED4B31">
        <w:rPr>
          <w:rFonts w:cstheme="minorHAnsi"/>
        </w:rPr>
        <w:ptab w:relativeTo="margin" w:alignment="right" w:leader="dot"/>
      </w:r>
      <w:r w:rsidR="006C7B25">
        <w:rPr>
          <w:rFonts w:cstheme="minorHAnsi"/>
        </w:rPr>
        <w:t>1</w:t>
      </w:r>
      <w:r w:rsidR="008129D2">
        <w:rPr>
          <w:rFonts w:cstheme="minorHAnsi"/>
        </w:rPr>
        <w:t>2</w:t>
      </w:r>
    </w:p>
    <w:p w14:paraId="091D463B" w14:textId="6E8D736D" w:rsidR="00BB7D6C" w:rsidRDefault="00BB7D6C" w:rsidP="00F60670">
      <w:pPr>
        <w:spacing w:after="0"/>
        <w:rPr>
          <w:rFonts w:cstheme="minorHAnsi"/>
        </w:rPr>
      </w:pPr>
      <w:r>
        <w:rPr>
          <w:rFonts w:cstheme="minorHAnsi"/>
        </w:rPr>
        <w:t>References</w:t>
      </w:r>
      <w:r w:rsidR="00ED4B31">
        <w:rPr>
          <w:rFonts w:cstheme="minorHAnsi"/>
        </w:rPr>
        <w:ptab w:relativeTo="margin" w:alignment="right" w:leader="dot"/>
      </w:r>
      <w:r w:rsidR="006C7B25">
        <w:rPr>
          <w:rFonts w:cstheme="minorHAnsi"/>
        </w:rPr>
        <w:t>1</w:t>
      </w:r>
      <w:r w:rsidR="008129D2">
        <w:rPr>
          <w:rFonts w:cstheme="minorHAnsi"/>
        </w:rPr>
        <w:t>2</w:t>
      </w:r>
    </w:p>
    <w:p w14:paraId="0ED64C48" w14:textId="058F7379" w:rsidR="006C7B25" w:rsidRDefault="00BB7D6C" w:rsidP="00F60670">
      <w:pPr>
        <w:spacing w:after="0"/>
        <w:rPr>
          <w:rFonts w:cstheme="minorHAnsi"/>
        </w:rPr>
      </w:pPr>
      <w:r>
        <w:rPr>
          <w:rFonts w:cstheme="minorHAnsi"/>
        </w:rPr>
        <w:t>A</w:t>
      </w:r>
      <w:r w:rsidR="006C7B25">
        <w:rPr>
          <w:rFonts w:cstheme="minorHAnsi"/>
        </w:rPr>
        <w:t>ppendix</w:t>
      </w:r>
      <w:r>
        <w:rPr>
          <w:rFonts w:cstheme="minorHAnsi"/>
        </w:rPr>
        <w:t xml:space="preserve"> A:</w:t>
      </w:r>
      <w:r w:rsidR="006C7B25">
        <w:rPr>
          <w:rFonts w:cstheme="minorHAnsi"/>
        </w:rPr>
        <w:t xml:space="preserve"> Delivery method and initial contact type for all CEs and SPGs </w:t>
      </w:r>
      <w:r w:rsidR="006C7B25">
        <w:rPr>
          <w:rFonts w:cstheme="minorHAnsi"/>
        </w:rPr>
        <w:ptab w:relativeTo="margin" w:alignment="right" w:leader="dot"/>
      </w:r>
      <w:r w:rsidR="006C7B25">
        <w:rPr>
          <w:rFonts w:cstheme="minorHAnsi"/>
        </w:rPr>
        <w:t>13</w:t>
      </w:r>
    </w:p>
    <w:p w14:paraId="6B4D8C52" w14:textId="7CE1CAE6" w:rsidR="006C7B25" w:rsidRDefault="006C7B25" w:rsidP="00F60670">
      <w:pPr>
        <w:spacing w:after="0"/>
        <w:rPr>
          <w:rFonts w:cstheme="minorHAnsi"/>
        </w:rPr>
      </w:pPr>
      <w:r>
        <w:rPr>
          <w:rFonts w:cstheme="minorHAnsi"/>
        </w:rPr>
        <w:t xml:space="preserve">Appendix B: Wave of Contact for CEs and SPGs </w:t>
      </w:r>
      <w:r>
        <w:rPr>
          <w:rFonts w:cstheme="minorHAnsi"/>
        </w:rPr>
        <w:ptab w:relativeTo="margin" w:alignment="right" w:leader="dot"/>
      </w:r>
      <w:r>
        <w:rPr>
          <w:rFonts w:cstheme="minorHAnsi"/>
        </w:rPr>
        <w:t>14</w:t>
      </w:r>
    </w:p>
    <w:p w14:paraId="7D31D2C9" w14:textId="3C3ECC85" w:rsidR="006C7B25" w:rsidRDefault="006C7B25" w:rsidP="00F60670">
      <w:pPr>
        <w:spacing w:after="0"/>
        <w:rPr>
          <w:rFonts w:cstheme="minorHAnsi"/>
        </w:rPr>
      </w:pPr>
      <w:r>
        <w:rPr>
          <w:rFonts w:cstheme="minorHAnsi"/>
        </w:rPr>
        <w:t xml:space="preserve">Appendix C: Return profiles for CEs and SPGs </w:t>
      </w:r>
      <w:r>
        <w:rPr>
          <w:rFonts w:cstheme="minorHAnsi"/>
        </w:rPr>
        <w:ptab w:relativeTo="margin" w:alignment="right" w:leader="dot"/>
      </w:r>
      <w:r>
        <w:rPr>
          <w:rFonts w:cstheme="minorHAnsi"/>
        </w:rPr>
        <w:t>15</w:t>
      </w:r>
    </w:p>
    <w:p w14:paraId="09CD5EFD" w14:textId="2EA765F5" w:rsidR="00BB7D6C" w:rsidRDefault="006C7B25" w:rsidP="00F60670">
      <w:pPr>
        <w:spacing w:after="0"/>
        <w:rPr>
          <w:rFonts w:cstheme="minorHAnsi"/>
        </w:rPr>
      </w:pPr>
      <w:r>
        <w:rPr>
          <w:rFonts w:cstheme="minorHAnsi"/>
        </w:rPr>
        <w:t>Appendix D:</w:t>
      </w:r>
      <w:r w:rsidR="00BB7D6C">
        <w:rPr>
          <w:rFonts w:cstheme="minorHAnsi"/>
        </w:rPr>
        <w:t xml:space="preserve"> supporting context information</w:t>
      </w:r>
      <w:r w:rsidR="00ED4B31">
        <w:rPr>
          <w:rFonts w:cstheme="minorHAnsi"/>
        </w:rPr>
        <w:ptab w:relativeTo="margin" w:alignment="right" w:leader="dot"/>
      </w:r>
      <w:r>
        <w:rPr>
          <w:rFonts w:cstheme="minorHAnsi"/>
        </w:rPr>
        <w:t>16</w:t>
      </w:r>
    </w:p>
    <w:p w14:paraId="53EE6C93" w14:textId="7CC81C7D" w:rsidR="006735EB" w:rsidRDefault="006735EB" w:rsidP="00F60670">
      <w:pPr>
        <w:spacing w:after="0"/>
        <w:rPr>
          <w:rFonts w:cstheme="minorHAnsi"/>
        </w:rPr>
      </w:pPr>
    </w:p>
    <w:p w14:paraId="69B32B75" w14:textId="77777777" w:rsidR="006C7B25" w:rsidRDefault="006C7B25" w:rsidP="00F60670">
      <w:pPr>
        <w:spacing w:after="0"/>
        <w:rPr>
          <w:rFonts w:cstheme="minorHAnsi"/>
          <w:b/>
          <w:bCs/>
          <w:sz w:val="24"/>
          <w:szCs w:val="24"/>
        </w:rPr>
      </w:pPr>
    </w:p>
    <w:p w14:paraId="23F9E67E" w14:textId="66FF42D1" w:rsidR="006735EB" w:rsidRPr="00BB7D6C" w:rsidRDefault="00EF3CB4" w:rsidP="00F60670">
      <w:pPr>
        <w:spacing w:after="0"/>
        <w:rPr>
          <w:rFonts w:cstheme="minorHAnsi"/>
          <w:b/>
          <w:bCs/>
          <w:sz w:val="24"/>
          <w:szCs w:val="24"/>
        </w:rPr>
      </w:pPr>
      <w:r>
        <w:rPr>
          <w:rFonts w:cstheme="minorHAnsi"/>
          <w:b/>
          <w:bCs/>
          <w:sz w:val="24"/>
          <w:szCs w:val="24"/>
        </w:rPr>
        <w:t>Purpose of this paper</w:t>
      </w:r>
    </w:p>
    <w:p w14:paraId="6404ACB7" w14:textId="77777777" w:rsidR="00BB7D6C" w:rsidRDefault="00BB7D6C" w:rsidP="00BB7D6C">
      <w:pPr>
        <w:spacing w:after="0"/>
        <w:rPr>
          <w:rFonts w:cstheme="minorHAnsi"/>
        </w:rPr>
      </w:pPr>
    </w:p>
    <w:p w14:paraId="5AFEF518" w14:textId="1E5FCDBC" w:rsidR="00BB7D6C" w:rsidRPr="003A7ACD" w:rsidRDefault="00BB7D6C" w:rsidP="006C7B25">
      <w:pPr>
        <w:spacing w:after="0"/>
        <w:rPr>
          <w:rFonts w:cstheme="minorHAnsi"/>
        </w:rPr>
      </w:pPr>
      <w:r>
        <w:rPr>
          <w:rFonts w:cstheme="minorHAnsi"/>
        </w:rPr>
        <w:t xml:space="preserve">We took an introduction to the design for Communal Establishments (CEs) to the external methodological assurance panel </w:t>
      </w:r>
      <w:r w:rsidR="00727059">
        <w:rPr>
          <w:rFonts w:cstheme="minorHAnsi"/>
        </w:rPr>
        <w:t xml:space="preserve">(MARP) </w:t>
      </w:r>
      <w:r>
        <w:rPr>
          <w:rFonts w:cstheme="minorHAnsi"/>
        </w:rPr>
        <w:t>in October 2019. The p</w:t>
      </w:r>
      <w:r w:rsidRPr="003A7ACD">
        <w:rPr>
          <w:rFonts w:cstheme="minorHAnsi"/>
        </w:rPr>
        <w:t>anel wanted an update specifically on imputation and use of admin data.</w:t>
      </w:r>
      <w:r>
        <w:rPr>
          <w:rFonts w:cstheme="minorHAnsi"/>
        </w:rPr>
        <w:t xml:space="preserve"> Extract from the minutes:</w:t>
      </w:r>
    </w:p>
    <w:p w14:paraId="020D8505" w14:textId="77777777" w:rsidR="00BB7D6C" w:rsidRPr="003A7ACD" w:rsidRDefault="00BB7D6C" w:rsidP="006C7B25">
      <w:pPr>
        <w:spacing w:after="0"/>
        <w:rPr>
          <w:rFonts w:cstheme="minorHAnsi"/>
          <w:color w:val="0070C0"/>
        </w:rPr>
      </w:pPr>
      <w:r w:rsidRPr="003A7ACD">
        <w:rPr>
          <w:rFonts w:cstheme="minorHAnsi"/>
          <w:color w:val="0070C0"/>
        </w:rPr>
        <w:t>2.8 – The use of donors for imputation was also discussed, with the panel satisfied with the selection within the same CE process but noted known issues regarding small donor pools and repeated use of donors. It was recommended that the ONS continue to research potential overuse of donors.</w:t>
      </w:r>
    </w:p>
    <w:p w14:paraId="5BB4C87D" w14:textId="77777777" w:rsidR="00BB7D6C" w:rsidRPr="003A7ACD" w:rsidRDefault="00BB7D6C" w:rsidP="006C7B25">
      <w:pPr>
        <w:spacing w:after="0"/>
        <w:rPr>
          <w:rFonts w:cstheme="minorHAnsi"/>
          <w:color w:val="0070C0"/>
        </w:rPr>
      </w:pPr>
      <w:r w:rsidRPr="003A7ACD">
        <w:rPr>
          <w:rFonts w:cstheme="minorHAnsi"/>
          <w:color w:val="0070C0"/>
        </w:rPr>
        <w:t>Actions</w:t>
      </w:r>
    </w:p>
    <w:p w14:paraId="417C3BAE" w14:textId="77777777" w:rsidR="00BB7D6C" w:rsidRPr="003A7ACD" w:rsidRDefault="00BB7D6C" w:rsidP="006C7B25">
      <w:pPr>
        <w:spacing w:after="0"/>
        <w:rPr>
          <w:rFonts w:cstheme="minorHAnsi"/>
          <w:color w:val="0070C0"/>
        </w:rPr>
      </w:pPr>
      <w:r w:rsidRPr="003A7ACD">
        <w:rPr>
          <w:rFonts w:cstheme="minorHAnsi"/>
          <w:color w:val="0070C0"/>
        </w:rPr>
        <w:t>A52 – The panel would like a more detailed update on Communal Establishments in the future, including imputation and use of administrative data.</w:t>
      </w:r>
    </w:p>
    <w:p w14:paraId="22A30B16" w14:textId="77777777" w:rsidR="00BB7D6C" w:rsidRPr="003A7ACD" w:rsidRDefault="00BB7D6C" w:rsidP="006C7B25">
      <w:pPr>
        <w:spacing w:after="0"/>
        <w:rPr>
          <w:rFonts w:cstheme="minorHAnsi"/>
        </w:rPr>
      </w:pPr>
    </w:p>
    <w:p w14:paraId="201CB8E8" w14:textId="7C71BAC1" w:rsidR="00C557F2" w:rsidRDefault="00BB7D6C" w:rsidP="006C7B25">
      <w:pPr>
        <w:spacing w:after="0"/>
        <w:rPr>
          <w:rFonts w:cstheme="minorHAnsi"/>
        </w:rPr>
      </w:pPr>
      <w:r>
        <w:rPr>
          <w:rFonts w:cstheme="minorHAnsi"/>
        </w:rPr>
        <w:t>This paper addresses those comments</w:t>
      </w:r>
      <w:r w:rsidR="00C33DF0">
        <w:rPr>
          <w:rFonts w:cstheme="minorHAnsi"/>
        </w:rPr>
        <w:t xml:space="preserve"> as far as we are currently able</w:t>
      </w:r>
      <w:r>
        <w:rPr>
          <w:rFonts w:cstheme="minorHAnsi"/>
        </w:rPr>
        <w:t xml:space="preserve">, and adds in context on the </w:t>
      </w:r>
      <w:r w:rsidR="007D4A4D">
        <w:rPr>
          <w:rFonts w:cstheme="minorHAnsi"/>
        </w:rPr>
        <w:t>end-to-end design, from creation of the address frame</w:t>
      </w:r>
      <w:r w:rsidR="00727059">
        <w:rPr>
          <w:rFonts w:cstheme="minorHAnsi"/>
        </w:rPr>
        <w:t xml:space="preserve"> and collection operation</w:t>
      </w:r>
      <w:r w:rsidR="007D4A4D">
        <w:rPr>
          <w:rFonts w:cstheme="minorHAnsi"/>
        </w:rPr>
        <w:t xml:space="preserve"> through to coverage </w:t>
      </w:r>
      <w:r w:rsidR="00727059">
        <w:rPr>
          <w:rFonts w:cstheme="minorHAnsi"/>
        </w:rPr>
        <w:t xml:space="preserve">estimation and </w:t>
      </w:r>
      <w:r w:rsidR="007D4A4D">
        <w:rPr>
          <w:rFonts w:cstheme="minorHAnsi"/>
        </w:rPr>
        <w:t>adjustment.</w:t>
      </w:r>
      <w:r w:rsidR="00727059">
        <w:rPr>
          <w:rFonts w:cstheme="minorHAnsi"/>
        </w:rPr>
        <w:t xml:space="preserve"> It does not cover quality assurance/validation of the census estimates.</w:t>
      </w:r>
    </w:p>
    <w:p w14:paraId="065AAA5F" w14:textId="77777777" w:rsidR="006C7B25" w:rsidRDefault="006C7B25" w:rsidP="006C7B25">
      <w:pPr>
        <w:spacing w:after="0"/>
        <w:rPr>
          <w:rFonts w:cstheme="minorHAnsi"/>
        </w:rPr>
      </w:pPr>
    </w:p>
    <w:p w14:paraId="6C6F408B" w14:textId="7C37DE5E" w:rsidR="00EF3CB4" w:rsidRDefault="00EF3CB4" w:rsidP="006C7B25">
      <w:pPr>
        <w:spacing w:after="0"/>
        <w:rPr>
          <w:rFonts w:cstheme="minorHAnsi"/>
        </w:rPr>
      </w:pPr>
      <w:r>
        <w:rPr>
          <w:rFonts w:cstheme="minorHAnsi"/>
        </w:rPr>
        <w:t>CRAG and MARP are asked for their views on the current status of the CE elements, and to feed in any ideas on aspects that are still in progress.</w:t>
      </w:r>
    </w:p>
    <w:p w14:paraId="4D7D7ADC" w14:textId="77777777" w:rsidR="006C7B25" w:rsidRDefault="006C7B25">
      <w:pPr>
        <w:rPr>
          <w:b/>
          <w:bCs/>
          <w:sz w:val="24"/>
          <w:szCs w:val="24"/>
        </w:rPr>
      </w:pPr>
      <w:r>
        <w:rPr>
          <w:b/>
          <w:bCs/>
          <w:sz w:val="24"/>
          <w:szCs w:val="24"/>
        </w:rPr>
        <w:br w:type="page"/>
      </w:r>
    </w:p>
    <w:p w14:paraId="1288E714" w14:textId="0EF44EBE" w:rsidR="008532BB" w:rsidRDefault="008532BB" w:rsidP="008532BB">
      <w:pPr>
        <w:spacing w:after="0"/>
        <w:rPr>
          <w:b/>
          <w:bCs/>
          <w:sz w:val="24"/>
          <w:szCs w:val="24"/>
        </w:rPr>
      </w:pPr>
      <w:r w:rsidRPr="008532BB">
        <w:rPr>
          <w:b/>
          <w:bCs/>
          <w:sz w:val="24"/>
          <w:szCs w:val="24"/>
        </w:rPr>
        <w:lastRenderedPageBreak/>
        <w:t>Introduction</w:t>
      </w:r>
    </w:p>
    <w:p w14:paraId="77EF0240" w14:textId="77777777" w:rsidR="008532BB" w:rsidRPr="008532BB" w:rsidRDefault="008532BB" w:rsidP="008532BB">
      <w:pPr>
        <w:spacing w:after="0"/>
        <w:rPr>
          <w:b/>
          <w:bCs/>
          <w:sz w:val="24"/>
          <w:szCs w:val="24"/>
        </w:rPr>
      </w:pPr>
    </w:p>
    <w:p w14:paraId="2915B7BE" w14:textId="27364671" w:rsidR="008532BB" w:rsidRDefault="008532BB" w:rsidP="008532BB">
      <w:pPr>
        <w:spacing w:after="0"/>
      </w:pPr>
      <w:r>
        <w:t>According to the 2011 Census, 1.7% of residents of England and Wales live in managed residential accommodation known as Communal Establishments (CEs), such as care homes, student halls of residence, hospitals or prisons. While this is a relatively small proportion of the total population, they are likely to be clustered in particular locations and share certain characteristics. It is essential that we capture sufficient responses from these groups from a statistical quality, inclusivity and outputs perspective. A tailored enumeration approach is needed to enable those in communal establishments to respond. A similarly bespoke enumeration approach may also be required for a small number of households because of addressing challenges (transient population groups, temporary accommodation sites), access restrictions (e.g. royal households, embassies) and/or because additional engagement with the community may be required (such as gypsy &amp; Roma travellers), which makes them unsuitable for the traditional household collection model. These are known as Special Population Groups (SPGs) and are often grouped with CEs for operational purposes.</w:t>
      </w:r>
    </w:p>
    <w:p w14:paraId="683913D2" w14:textId="77777777" w:rsidR="008532BB" w:rsidRPr="00271887" w:rsidRDefault="008532BB" w:rsidP="008532BB">
      <w:pPr>
        <w:spacing w:after="0"/>
      </w:pPr>
    </w:p>
    <w:p w14:paraId="4136C6D2" w14:textId="70BA5706" w:rsidR="008532BB" w:rsidRDefault="008532BB" w:rsidP="008532BB">
      <w:pPr>
        <w:spacing w:after="0"/>
      </w:pPr>
      <w:r>
        <w:t>Although the Census Coverage Survey (CCS) caters for CEs with up to 50 beds paces, larger CEs are not included. A tailored approach to the processing of the data is therefore also required to ensure that estimates can be published to a standard that meets user needs.</w:t>
      </w:r>
    </w:p>
    <w:p w14:paraId="37A9650F" w14:textId="77777777" w:rsidR="008532BB" w:rsidRDefault="008532BB" w:rsidP="008532BB">
      <w:pPr>
        <w:spacing w:after="0"/>
      </w:pPr>
    </w:p>
    <w:p w14:paraId="48EC8884" w14:textId="5D49A748" w:rsidR="00A653E7" w:rsidRDefault="00A653E7" w:rsidP="008532BB">
      <w:pPr>
        <w:spacing w:after="0"/>
        <w:rPr>
          <w:rFonts w:cstheme="minorHAnsi"/>
        </w:rPr>
      </w:pPr>
      <w:r>
        <w:rPr>
          <w:rFonts w:cstheme="minorHAnsi"/>
        </w:rPr>
        <w:t>Table 1 below summarises the main CE populations in 2011, showing the proportion they make of the whole population, the proportion of the CE population, and the response rate in 2011. It also summarises the quality concerns we have with each of these main types.</w:t>
      </w:r>
      <w:r w:rsidR="00772E8D">
        <w:rPr>
          <w:rFonts w:cstheme="minorHAnsi"/>
        </w:rPr>
        <w:t xml:space="preserve"> A</w:t>
      </w:r>
      <w:r w:rsidR="008532BB">
        <w:rPr>
          <w:rFonts w:cstheme="minorHAnsi"/>
        </w:rPr>
        <w:t>ppendix D</w:t>
      </w:r>
      <w:r w:rsidR="00772E8D">
        <w:rPr>
          <w:rFonts w:cstheme="minorHAnsi"/>
        </w:rPr>
        <w:t xml:space="preserve"> Table </w:t>
      </w:r>
      <w:r w:rsidR="008532BB">
        <w:rPr>
          <w:rFonts w:cstheme="minorHAnsi"/>
        </w:rPr>
        <w:t>D</w:t>
      </w:r>
      <w:r w:rsidR="00772E8D">
        <w:rPr>
          <w:rFonts w:cstheme="minorHAnsi"/>
        </w:rPr>
        <w:t>1 gives a more detailed breakdown of the CE populations from the 2011 Census.</w:t>
      </w:r>
    </w:p>
    <w:p w14:paraId="0C8B6231" w14:textId="77777777" w:rsidR="008532BB" w:rsidRDefault="008532BB">
      <w:pPr>
        <w:rPr>
          <w:rFonts w:cstheme="minorHAnsi"/>
          <w:b/>
          <w:bCs/>
        </w:rPr>
      </w:pPr>
      <w:r>
        <w:rPr>
          <w:rFonts w:cstheme="minorHAnsi"/>
          <w:b/>
          <w:bCs/>
        </w:rPr>
        <w:br w:type="page"/>
      </w:r>
    </w:p>
    <w:p w14:paraId="347E39C3" w14:textId="39083FFB" w:rsidR="00A653E7" w:rsidRPr="003038EA" w:rsidRDefault="00A653E7" w:rsidP="00A653E7">
      <w:pPr>
        <w:rPr>
          <w:b/>
        </w:rPr>
      </w:pPr>
      <w:r w:rsidRPr="00A653E7">
        <w:rPr>
          <w:rFonts w:cstheme="minorHAnsi"/>
          <w:b/>
          <w:bCs/>
        </w:rPr>
        <w:lastRenderedPageBreak/>
        <w:t>Table 1:</w:t>
      </w:r>
      <w:r>
        <w:rPr>
          <w:rFonts w:cstheme="minorHAnsi"/>
        </w:rPr>
        <w:t xml:space="preserve"> </w:t>
      </w:r>
      <w:r w:rsidRPr="003038EA">
        <w:rPr>
          <w:b/>
        </w:rPr>
        <w:t>Quality concerns with CE population</w:t>
      </w:r>
      <w:r>
        <w:rPr>
          <w:b/>
        </w:rPr>
        <w:t xml:space="preserve"> collection</w:t>
      </w:r>
    </w:p>
    <w:tbl>
      <w:tblPr>
        <w:tblStyle w:val="TableGrid"/>
        <w:tblW w:w="9947" w:type="dxa"/>
        <w:tblInd w:w="-318" w:type="dxa"/>
        <w:tblLayout w:type="fixed"/>
        <w:tblLook w:val="04A0" w:firstRow="1" w:lastRow="0" w:firstColumn="1" w:lastColumn="0" w:noHBand="0" w:noVBand="1"/>
      </w:tblPr>
      <w:tblGrid>
        <w:gridCol w:w="1306"/>
        <w:gridCol w:w="1134"/>
        <w:gridCol w:w="1134"/>
        <w:gridCol w:w="679"/>
        <w:gridCol w:w="2434"/>
        <w:gridCol w:w="3260"/>
      </w:tblGrid>
      <w:tr w:rsidR="00A653E7" w:rsidRPr="000938D8" w14:paraId="68D708B7" w14:textId="77777777" w:rsidTr="00033F8D">
        <w:tc>
          <w:tcPr>
            <w:tcW w:w="1306" w:type="dxa"/>
          </w:tcPr>
          <w:p w14:paraId="697AAD3A" w14:textId="77777777" w:rsidR="00A653E7" w:rsidRPr="000938D8" w:rsidRDefault="00A653E7" w:rsidP="002B1876">
            <w:pPr>
              <w:rPr>
                <w:b/>
              </w:rPr>
            </w:pPr>
            <w:r w:rsidRPr="000938D8">
              <w:rPr>
                <w:b/>
              </w:rPr>
              <w:t>Type</w:t>
            </w:r>
          </w:p>
        </w:tc>
        <w:tc>
          <w:tcPr>
            <w:tcW w:w="1134" w:type="dxa"/>
          </w:tcPr>
          <w:p w14:paraId="22547D89" w14:textId="77777777" w:rsidR="00A653E7" w:rsidRPr="000938D8" w:rsidRDefault="00A653E7" w:rsidP="002B1876">
            <w:pPr>
              <w:jc w:val="right"/>
              <w:rPr>
                <w:b/>
              </w:rPr>
            </w:pPr>
            <w:r w:rsidRPr="000938D8">
              <w:rPr>
                <w:b/>
              </w:rPr>
              <w:t>% of</w:t>
            </w:r>
            <w:r>
              <w:rPr>
                <w:b/>
              </w:rPr>
              <w:t xml:space="preserve"> 2011</w:t>
            </w:r>
            <w:r w:rsidRPr="000938D8">
              <w:rPr>
                <w:b/>
              </w:rPr>
              <w:t xml:space="preserve"> E&amp;W total pop</w:t>
            </w:r>
          </w:p>
        </w:tc>
        <w:tc>
          <w:tcPr>
            <w:tcW w:w="1134" w:type="dxa"/>
          </w:tcPr>
          <w:p w14:paraId="20ACB18F" w14:textId="77777777" w:rsidR="00033F8D" w:rsidRDefault="00A653E7" w:rsidP="002B1876">
            <w:pPr>
              <w:jc w:val="right"/>
              <w:rPr>
                <w:b/>
              </w:rPr>
            </w:pPr>
            <w:r w:rsidRPr="000938D8">
              <w:rPr>
                <w:b/>
              </w:rPr>
              <w:t>% of</w:t>
            </w:r>
            <w:r>
              <w:rPr>
                <w:b/>
              </w:rPr>
              <w:t xml:space="preserve"> 2011</w:t>
            </w:r>
            <w:r w:rsidRPr="000938D8">
              <w:rPr>
                <w:b/>
              </w:rPr>
              <w:t xml:space="preserve"> CE pop</w:t>
            </w:r>
          </w:p>
          <w:p w14:paraId="1E60C717" w14:textId="23AE4773" w:rsidR="00A653E7" w:rsidRPr="000938D8" w:rsidRDefault="00033F8D" w:rsidP="002B1876">
            <w:pPr>
              <w:jc w:val="right"/>
              <w:rPr>
                <w:b/>
              </w:rPr>
            </w:pPr>
            <w:r>
              <w:rPr>
                <w:b/>
              </w:rPr>
              <w:t xml:space="preserve">(% of </w:t>
            </w:r>
            <w:proofErr w:type="spellStart"/>
            <w:r>
              <w:rPr>
                <w:b/>
              </w:rPr>
              <w:t>estab’s</w:t>
            </w:r>
            <w:proofErr w:type="spellEnd"/>
            <w:r>
              <w:rPr>
                <w:b/>
              </w:rPr>
              <w:t>)</w:t>
            </w:r>
          </w:p>
        </w:tc>
        <w:tc>
          <w:tcPr>
            <w:tcW w:w="679" w:type="dxa"/>
          </w:tcPr>
          <w:p w14:paraId="01C27A6D" w14:textId="77777777" w:rsidR="00A653E7" w:rsidRPr="000938D8" w:rsidRDefault="00A653E7" w:rsidP="002B1876">
            <w:pPr>
              <w:jc w:val="right"/>
              <w:rPr>
                <w:b/>
              </w:rPr>
            </w:pPr>
            <w:proofErr w:type="spellStart"/>
            <w:r>
              <w:rPr>
                <w:b/>
              </w:rPr>
              <w:t>Resp</w:t>
            </w:r>
            <w:proofErr w:type="spellEnd"/>
            <w:r>
              <w:rPr>
                <w:b/>
              </w:rPr>
              <w:t xml:space="preserve"> Rate in 2011</w:t>
            </w:r>
          </w:p>
        </w:tc>
        <w:tc>
          <w:tcPr>
            <w:tcW w:w="2434" w:type="dxa"/>
          </w:tcPr>
          <w:p w14:paraId="1CDF5C80" w14:textId="77777777" w:rsidR="00A653E7" w:rsidRPr="000938D8" w:rsidRDefault="00A653E7" w:rsidP="002B1876">
            <w:pPr>
              <w:rPr>
                <w:b/>
              </w:rPr>
            </w:pPr>
            <w:r w:rsidRPr="000938D8">
              <w:rPr>
                <w:b/>
              </w:rPr>
              <w:t>Quality concerns</w:t>
            </w:r>
          </w:p>
        </w:tc>
        <w:tc>
          <w:tcPr>
            <w:tcW w:w="3260" w:type="dxa"/>
          </w:tcPr>
          <w:p w14:paraId="7CBBAE40" w14:textId="77777777" w:rsidR="007D4A4D" w:rsidRDefault="00A653E7" w:rsidP="002B1876">
            <w:pPr>
              <w:rPr>
                <w:b/>
              </w:rPr>
            </w:pPr>
            <w:r>
              <w:rPr>
                <w:b/>
              </w:rPr>
              <w:t>C</w:t>
            </w:r>
            <w:r w:rsidRPr="000938D8">
              <w:rPr>
                <w:b/>
              </w:rPr>
              <w:t>omments</w:t>
            </w:r>
            <w:r w:rsidR="00033F8D">
              <w:rPr>
                <w:b/>
              </w:rPr>
              <w:t xml:space="preserve"> / alternative sources for QA and estimation</w:t>
            </w:r>
            <w:r w:rsidR="007D4A4D">
              <w:rPr>
                <w:b/>
              </w:rPr>
              <w:t xml:space="preserve"> </w:t>
            </w:r>
          </w:p>
          <w:p w14:paraId="3FEC571F" w14:textId="50F25BE1" w:rsidR="00A653E7" w:rsidRPr="000938D8" w:rsidRDefault="007D4A4D" w:rsidP="002B1876">
            <w:pPr>
              <w:rPr>
                <w:b/>
              </w:rPr>
            </w:pPr>
            <w:r w:rsidRPr="007D4A4D">
              <w:rPr>
                <w:bCs/>
              </w:rPr>
              <w:t>(See Table 5 below for more on administrative sources)</w:t>
            </w:r>
          </w:p>
        </w:tc>
      </w:tr>
      <w:tr w:rsidR="00A653E7" w14:paraId="2D0A5F11" w14:textId="77777777" w:rsidTr="00033F8D">
        <w:trPr>
          <w:gridAfter w:val="4"/>
          <w:wAfter w:w="7507" w:type="dxa"/>
        </w:trPr>
        <w:tc>
          <w:tcPr>
            <w:tcW w:w="1306" w:type="dxa"/>
          </w:tcPr>
          <w:p w14:paraId="1C764720" w14:textId="77777777" w:rsidR="00A653E7" w:rsidRDefault="00A653E7" w:rsidP="002B1876">
            <w:r>
              <w:t>All CEs</w:t>
            </w:r>
          </w:p>
        </w:tc>
        <w:tc>
          <w:tcPr>
            <w:tcW w:w="1134" w:type="dxa"/>
          </w:tcPr>
          <w:p w14:paraId="009346A9" w14:textId="77777777" w:rsidR="00A653E7" w:rsidRDefault="00A653E7" w:rsidP="002B1876">
            <w:pPr>
              <w:jc w:val="right"/>
            </w:pPr>
            <w:r>
              <w:t>1.8%</w:t>
            </w:r>
          </w:p>
        </w:tc>
      </w:tr>
      <w:tr w:rsidR="00A653E7" w14:paraId="07811346" w14:textId="77777777" w:rsidTr="00033F8D">
        <w:tc>
          <w:tcPr>
            <w:tcW w:w="1306" w:type="dxa"/>
          </w:tcPr>
          <w:p w14:paraId="01EDE653" w14:textId="77777777" w:rsidR="00A653E7" w:rsidRDefault="00A653E7" w:rsidP="002B1876">
            <w:r>
              <w:t>Care home residents</w:t>
            </w:r>
          </w:p>
        </w:tc>
        <w:tc>
          <w:tcPr>
            <w:tcW w:w="1134" w:type="dxa"/>
          </w:tcPr>
          <w:p w14:paraId="1EA9A049" w14:textId="77777777" w:rsidR="00A653E7" w:rsidRDefault="00A653E7" w:rsidP="002B1876">
            <w:pPr>
              <w:jc w:val="right"/>
            </w:pPr>
            <w:r>
              <w:t>0.7%</w:t>
            </w:r>
          </w:p>
        </w:tc>
        <w:tc>
          <w:tcPr>
            <w:tcW w:w="1134" w:type="dxa"/>
          </w:tcPr>
          <w:p w14:paraId="082417C7" w14:textId="77777777" w:rsidR="00A653E7" w:rsidRDefault="00A653E7" w:rsidP="002B1876">
            <w:pPr>
              <w:jc w:val="right"/>
            </w:pPr>
            <w:r>
              <w:t>38%</w:t>
            </w:r>
          </w:p>
          <w:p w14:paraId="7C32D128" w14:textId="77777777" w:rsidR="00033F8D" w:rsidRDefault="00033F8D" w:rsidP="002B1876">
            <w:pPr>
              <w:jc w:val="right"/>
            </w:pPr>
          </w:p>
          <w:p w14:paraId="6C76CD19" w14:textId="5B283725" w:rsidR="00033F8D" w:rsidRDefault="00033F8D" w:rsidP="002B1876">
            <w:pPr>
              <w:jc w:val="right"/>
            </w:pPr>
            <w:r>
              <w:t xml:space="preserve">(31% of the 50+ </w:t>
            </w:r>
            <w:proofErr w:type="spellStart"/>
            <w:r>
              <w:t>bedsp</w:t>
            </w:r>
            <w:proofErr w:type="spellEnd"/>
            <w:r>
              <w:t>. CEs)</w:t>
            </w:r>
          </w:p>
        </w:tc>
        <w:tc>
          <w:tcPr>
            <w:tcW w:w="679" w:type="dxa"/>
          </w:tcPr>
          <w:p w14:paraId="24A7369A" w14:textId="77777777" w:rsidR="00A653E7" w:rsidRDefault="00A653E7" w:rsidP="002B1876">
            <w:pPr>
              <w:ind w:left="22"/>
              <w:jc w:val="right"/>
            </w:pPr>
            <w:r>
              <w:t>94%</w:t>
            </w:r>
          </w:p>
          <w:p w14:paraId="3DE66D37" w14:textId="77777777" w:rsidR="00A653E7" w:rsidRDefault="00A653E7" w:rsidP="002B1876">
            <w:pPr>
              <w:ind w:left="22"/>
              <w:jc w:val="right"/>
            </w:pPr>
          </w:p>
        </w:tc>
        <w:tc>
          <w:tcPr>
            <w:tcW w:w="2434" w:type="dxa"/>
          </w:tcPr>
          <w:p w14:paraId="4BF8A475" w14:textId="77777777" w:rsidR="00A653E7" w:rsidRDefault="00A653E7" w:rsidP="002B1876">
            <w:pPr>
              <w:pStyle w:val="ListParagraph"/>
              <w:numPr>
                <w:ilvl w:val="0"/>
                <w:numId w:val="5"/>
              </w:numPr>
              <w:ind w:left="260" w:hanging="260"/>
            </w:pPr>
            <w:r>
              <w:t>Population numbers, but not geographically clustered</w:t>
            </w:r>
          </w:p>
          <w:p w14:paraId="1CC9EF4D" w14:textId="77777777" w:rsidR="00A653E7" w:rsidRDefault="00A653E7" w:rsidP="002B1876">
            <w:pPr>
              <w:pStyle w:val="ListParagraph"/>
              <w:numPr>
                <w:ilvl w:val="0"/>
                <w:numId w:val="5"/>
              </w:numPr>
              <w:ind w:left="260" w:hanging="260"/>
            </w:pPr>
            <w:r>
              <w:t>Quality of proxy responses</w:t>
            </w:r>
          </w:p>
          <w:p w14:paraId="09EE2BCD" w14:textId="77777777" w:rsidR="00A653E7" w:rsidRDefault="00A653E7" w:rsidP="002B1876">
            <w:pPr>
              <w:pStyle w:val="ListParagraph"/>
              <w:numPr>
                <w:ilvl w:val="0"/>
                <w:numId w:val="5"/>
              </w:numPr>
              <w:ind w:left="260" w:hanging="260"/>
            </w:pPr>
            <w:r>
              <w:t>Manager/staff respondent burden</w:t>
            </w:r>
          </w:p>
        </w:tc>
        <w:tc>
          <w:tcPr>
            <w:tcW w:w="3260" w:type="dxa"/>
          </w:tcPr>
          <w:p w14:paraId="11130E40" w14:textId="77777777" w:rsidR="00A653E7" w:rsidRDefault="00A653E7" w:rsidP="002B1876">
            <w:pPr>
              <w:pStyle w:val="ListParagraph"/>
              <w:numPr>
                <w:ilvl w:val="0"/>
                <w:numId w:val="5"/>
              </w:numPr>
              <w:ind w:left="317" w:hanging="283"/>
            </w:pPr>
            <w:r>
              <w:t>97% in ‘small CEs’ in 2011 so in CCS and estimation – more in ‘large CEs’ in 2021</w:t>
            </w:r>
          </w:p>
          <w:p w14:paraId="23165843" w14:textId="0FC2DB0D" w:rsidR="00A653E7" w:rsidRDefault="00A653E7" w:rsidP="002B1876">
            <w:pPr>
              <w:pStyle w:val="ListParagraph"/>
              <w:numPr>
                <w:ilvl w:val="0"/>
                <w:numId w:val="5"/>
              </w:numPr>
              <w:ind w:left="317" w:hanging="283"/>
            </w:pPr>
            <w:r>
              <w:t>2011 data 70-87% were by proxy. Likely higher in 2021, but managers aware of respondent burden</w:t>
            </w:r>
          </w:p>
          <w:p w14:paraId="2B44BFDC" w14:textId="415A3952" w:rsidR="00A653E7" w:rsidRDefault="00A653E7" w:rsidP="002B1876">
            <w:pPr>
              <w:pStyle w:val="ListParagraph"/>
              <w:numPr>
                <w:ilvl w:val="0"/>
                <w:numId w:val="5"/>
              </w:numPr>
              <w:ind w:left="317" w:hanging="283"/>
            </w:pPr>
            <w:r>
              <w:t>Have to accept quality of proxy responses due to nature of residents’ situation</w:t>
            </w:r>
          </w:p>
        </w:tc>
      </w:tr>
      <w:tr w:rsidR="00A653E7" w14:paraId="2EBD2EC0" w14:textId="77777777" w:rsidTr="00033F8D">
        <w:tc>
          <w:tcPr>
            <w:tcW w:w="1306" w:type="dxa"/>
          </w:tcPr>
          <w:p w14:paraId="7DCD0851" w14:textId="77777777" w:rsidR="00A653E7" w:rsidRDefault="00A653E7" w:rsidP="002B1876">
            <w:r>
              <w:t>Students in halls of residence</w:t>
            </w:r>
          </w:p>
        </w:tc>
        <w:tc>
          <w:tcPr>
            <w:tcW w:w="1134" w:type="dxa"/>
          </w:tcPr>
          <w:p w14:paraId="3DC50BDA" w14:textId="77777777" w:rsidR="00A653E7" w:rsidRDefault="00A653E7" w:rsidP="002B1876">
            <w:pPr>
              <w:jc w:val="right"/>
            </w:pPr>
            <w:r>
              <w:t>0.5%</w:t>
            </w:r>
          </w:p>
        </w:tc>
        <w:tc>
          <w:tcPr>
            <w:tcW w:w="1134" w:type="dxa"/>
          </w:tcPr>
          <w:p w14:paraId="1DD5CFD0" w14:textId="77777777" w:rsidR="00A653E7" w:rsidRDefault="00A653E7" w:rsidP="002B1876">
            <w:pPr>
              <w:jc w:val="right"/>
            </w:pPr>
            <w:r>
              <w:t>30%</w:t>
            </w:r>
          </w:p>
          <w:p w14:paraId="36EA22DD" w14:textId="77777777" w:rsidR="00033F8D" w:rsidRDefault="00033F8D" w:rsidP="002B1876">
            <w:pPr>
              <w:jc w:val="right"/>
            </w:pPr>
          </w:p>
          <w:p w14:paraId="4B6490EC" w14:textId="1BA25BFA" w:rsidR="00033F8D" w:rsidRDefault="00033F8D" w:rsidP="002B1876">
            <w:pPr>
              <w:jc w:val="right"/>
            </w:pPr>
            <w:r>
              <w:t xml:space="preserve">(37% of the 50+ </w:t>
            </w:r>
            <w:proofErr w:type="spellStart"/>
            <w:r>
              <w:t>bedsp</w:t>
            </w:r>
            <w:proofErr w:type="spellEnd"/>
            <w:r>
              <w:t>. CEs)</w:t>
            </w:r>
          </w:p>
        </w:tc>
        <w:tc>
          <w:tcPr>
            <w:tcW w:w="679" w:type="dxa"/>
          </w:tcPr>
          <w:p w14:paraId="6C1888B2" w14:textId="77777777" w:rsidR="00A653E7" w:rsidRDefault="00A653E7" w:rsidP="002B1876">
            <w:pPr>
              <w:ind w:left="22"/>
              <w:jc w:val="right"/>
            </w:pPr>
            <w:r>
              <w:t>87%</w:t>
            </w:r>
          </w:p>
          <w:p w14:paraId="04410223" w14:textId="77777777" w:rsidR="00A653E7" w:rsidRDefault="00A653E7" w:rsidP="002B1876">
            <w:pPr>
              <w:ind w:left="22"/>
              <w:jc w:val="right"/>
            </w:pPr>
          </w:p>
        </w:tc>
        <w:tc>
          <w:tcPr>
            <w:tcW w:w="2434" w:type="dxa"/>
          </w:tcPr>
          <w:p w14:paraId="4CFBBABA" w14:textId="77777777" w:rsidR="00A653E7" w:rsidRDefault="00A653E7" w:rsidP="002B1876">
            <w:pPr>
              <w:pStyle w:val="ListParagraph"/>
              <w:numPr>
                <w:ilvl w:val="0"/>
                <w:numId w:val="6"/>
              </w:numPr>
              <w:ind w:left="260" w:hanging="260"/>
            </w:pPr>
            <w:r>
              <w:t>Population numbers and geographic clustering</w:t>
            </w:r>
          </w:p>
          <w:p w14:paraId="70374C61" w14:textId="1A6CBC51" w:rsidR="00A653E7" w:rsidRDefault="00A653E7" w:rsidP="002B1876">
            <w:pPr>
              <w:pStyle w:val="ListParagraph"/>
              <w:numPr>
                <w:ilvl w:val="0"/>
                <w:numId w:val="6"/>
              </w:numPr>
              <w:ind w:left="260" w:hanging="260"/>
            </w:pPr>
            <w:r>
              <w:t xml:space="preserve">Young </w:t>
            </w:r>
            <w:proofErr w:type="gramStart"/>
            <w:r>
              <w:t xml:space="preserve">adult  </w:t>
            </w:r>
            <w:r w:rsidR="007F469C">
              <w:t>non</w:t>
            </w:r>
            <w:proofErr w:type="gramEnd"/>
            <w:r w:rsidR="007F469C">
              <w:t>-</w:t>
            </w:r>
            <w:r>
              <w:t>response</w:t>
            </w:r>
          </w:p>
          <w:p w14:paraId="147A2B23" w14:textId="16AD41D2" w:rsidR="00A653E7" w:rsidRDefault="00A653E7" w:rsidP="002B1876">
            <w:pPr>
              <w:pStyle w:val="ListParagraph"/>
              <w:numPr>
                <w:ilvl w:val="0"/>
                <w:numId w:val="6"/>
              </w:numPr>
              <w:ind w:left="260" w:hanging="260"/>
            </w:pPr>
            <w:r>
              <w:t xml:space="preserve">Access to individuals </w:t>
            </w:r>
            <w:r w:rsidR="00C557F2">
              <w:t>-</w:t>
            </w:r>
            <w:r>
              <w:t xml:space="preserve"> receipt of initial contact </w:t>
            </w:r>
            <w:r w:rsidR="00C557F2">
              <w:t>&amp;</w:t>
            </w:r>
            <w:r>
              <w:t xml:space="preserve"> follow-up</w:t>
            </w:r>
          </w:p>
        </w:tc>
        <w:tc>
          <w:tcPr>
            <w:tcW w:w="3260" w:type="dxa"/>
          </w:tcPr>
          <w:p w14:paraId="4600CBAC" w14:textId="58B2536E" w:rsidR="00AA110F" w:rsidRDefault="00AA110F" w:rsidP="00AA110F">
            <w:pPr>
              <w:pStyle w:val="ListParagraph"/>
              <w:numPr>
                <w:ilvl w:val="0"/>
                <w:numId w:val="4"/>
              </w:numPr>
              <w:ind w:left="317" w:hanging="283"/>
            </w:pPr>
            <w:r>
              <w:t>Large increase in private halls since 2011</w:t>
            </w:r>
          </w:p>
          <w:p w14:paraId="7899AF28" w14:textId="2D5BF0DC" w:rsidR="00A653E7" w:rsidRDefault="00A653E7" w:rsidP="002B1876">
            <w:pPr>
              <w:pStyle w:val="ListParagraph"/>
              <w:numPr>
                <w:ilvl w:val="0"/>
                <w:numId w:val="4"/>
              </w:numPr>
              <w:ind w:left="317" w:hanging="283"/>
            </w:pPr>
            <w:r>
              <w:t xml:space="preserve">Info direct from </w:t>
            </w:r>
            <w:proofErr w:type="spellStart"/>
            <w:r w:rsidR="00AA110F">
              <w:t>estab</w:t>
            </w:r>
            <w:proofErr w:type="spellEnd"/>
            <w:r w:rsidR="00AA110F">
              <w:t>?</w:t>
            </w:r>
            <w:r w:rsidR="00C557F2">
              <w:t xml:space="preserve"> </w:t>
            </w:r>
            <w:r>
              <w:t>(</w:t>
            </w:r>
            <w:r w:rsidR="00C557F2">
              <w:t>CE officer liaison,</w:t>
            </w:r>
            <w:r w:rsidR="00033F8D">
              <w:t xml:space="preserve"> phone</w:t>
            </w:r>
            <w:r>
              <w:t>)</w:t>
            </w:r>
          </w:p>
          <w:p w14:paraId="3AE1781C" w14:textId="66E56768" w:rsidR="00A653E7" w:rsidRDefault="00A653E7" w:rsidP="002B1876">
            <w:pPr>
              <w:pStyle w:val="ListParagraph"/>
              <w:numPr>
                <w:ilvl w:val="0"/>
                <w:numId w:val="4"/>
              </w:numPr>
              <w:ind w:left="317" w:hanging="283"/>
            </w:pPr>
            <w:r>
              <w:t>HESA data too lagged for current year – use patterns from previous years?</w:t>
            </w:r>
          </w:p>
          <w:p w14:paraId="76C99745" w14:textId="7CFA4136" w:rsidR="00A653E7" w:rsidRDefault="00A653E7" w:rsidP="002B1876">
            <w:pPr>
              <w:pStyle w:val="ListParagraph"/>
              <w:numPr>
                <w:ilvl w:val="0"/>
                <w:numId w:val="4"/>
              </w:numPr>
              <w:ind w:left="317" w:hanging="283"/>
            </w:pPr>
            <w:r>
              <w:t>Other sources tbc</w:t>
            </w:r>
          </w:p>
        </w:tc>
      </w:tr>
      <w:tr w:rsidR="00A653E7" w14:paraId="0D60FB05" w14:textId="77777777" w:rsidTr="00033F8D">
        <w:tc>
          <w:tcPr>
            <w:tcW w:w="1306" w:type="dxa"/>
          </w:tcPr>
          <w:p w14:paraId="2AB738D1" w14:textId="77777777" w:rsidR="00A653E7" w:rsidRDefault="00A653E7" w:rsidP="002B1876">
            <w:r>
              <w:t>Hotel, B&amp;B, guest house usual residents</w:t>
            </w:r>
          </w:p>
        </w:tc>
        <w:tc>
          <w:tcPr>
            <w:tcW w:w="1134" w:type="dxa"/>
          </w:tcPr>
          <w:p w14:paraId="520B8530" w14:textId="77777777" w:rsidR="00A653E7" w:rsidRDefault="00A653E7" w:rsidP="002B1876">
            <w:pPr>
              <w:jc w:val="right"/>
            </w:pPr>
            <w:r>
              <w:t>0.05%</w:t>
            </w:r>
          </w:p>
        </w:tc>
        <w:tc>
          <w:tcPr>
            <w:tcW w:w="1134" w:type="dxa"/>
          </w:tcPr>
          <w:p w14:paraId="7768D206" w14:textId="77777777" w:rsidR="00A653E7" w:rsidRDefault="00A653E7" w:rsidP="002B1876">
            <w:pPr>
              <w:jc w:val="right"/>
            </w:pPr>
            <w:r>
              <w:t>2.5%</w:t>
            </w:r>
          </w:p>
          <w:p w14:paraId="1F01656C" w14:textId="17AC8123" w:rsidR="00033F8D" w:rsidRDefault="00033F8D" w:rsidP="002B1876">
            <w:pPr>
              <w:jc w:val="right"/>
            </w:pPr>
            <w:r>
              <w:t>(&lt;1% of 50+CEs)</w:t>
            </w:r>
          </w:p>
        </w:tc>
        <w:tc>
          <w:tcPr>
            <w:tcW w:w="679" w:type="dxa"/>
          </w:tcPr>
          <w:p w14:paraId="139C91B1" w14:textId="77777777" w:rsidR="00A653E7" w:rsidRDefault="00A653E7" w:rsidP="002B1876">
            <w:pPr>
              <w:ind w:left="22"/>
              <w:jc w:val="right"/>
            </w:pPr>
            <w:r>
              <w:t>91%</w:t>
            </w:r>
          </w:p>
          <w:p w14:paraId="788DE247" w14:textId="77777777" w:rsidR="00A653E7" w:rsidRDefault="00A653E7" w:rsidP="002B1876">
            <w:pPr>
              <w:ind w:left="22"/>
              <w:jc w:val="right"/>
            </w:pPr>
          </w:p>
        </w:tc>
        <w:tc>
          <w:tcPr>
            <w:tcW w:w="2434" w:type="dxa"/>
          </w:tcPr>
          <w:p w14:paraId="762EB9B9" w14:textId="48D08620" w:rsidR="00A653E7" w:rsidRDefault="00A653E7" w:rsidP="002B1876">
            <w:pPr>
              <w:pStyle w:val="ListParagraph"/>
              <w:numPr>
                <w:ilvl w:val="0"/>
                <w:numId w:val="4"/>
              </w:numPr>
              <w:ind w:left="260" w:hanging="260"/>
            </w:pPr>
            <w:r>
              <w:t>Some geographic clustering</w:t>
            </w:r>
          </w:p>
          <w:p w14:paraId="7997D8D4" w14:textId="77777777" w:rsidR="00A653E7" w:rsidRDefault="00A653E7" w:rsidP="002B1876">
            <w:pPr>
              <w:pStyle w:val="ListParagraph"/>
              <w:numPr>
                <w:ilvl w:val="0"/>
                <w:numId w:val="4"/>
              </w:numPr>
              <w:ind w:left="260" w:hanging="260"/>
            </w:pPr>
            <w:r>
              <w:t>Understanding ‘usual resident’</w:t>
            </w:r>
          </w:p>
        </w:tc>
        <w:tc>
          <w:tcPr>
            <w:tcW w:w="3260" w:type="dxa"/>
          </w:tcPr>
          <w:p w14:paraId="51662923" w14:textId="77777777" w:rsidR="00A653E7" w:rsidRDefault="00A653E7" w:rsidP="002B1876">
            <w:pPr>
              <w:pStyle w:val="ListParagraph"/>
              <w:numPr>
                <w:ilvl w:val="0"/>
                <w:numId w:val="4"/>
              </w:numPr>
              <w:ind w:left="317" w:hanging="283"/>
            </w:pPr>
            <w:r>
              <w:t>Area-specific validation</w:t>
            </w:r>
          </w:p>
          <w:p w14:paraId="574501C0" w14:textId="77777777" w:rsidR="00A653E7" w:rsidRDefault="00A653E7" w:rsidP="002B1876">
            <w:pPr>
              <w:pStyle w:val="ListParagraph"/>
              <w:numPr>
                <w:ilvl w:val="0"/>
                <w:numId w:val="4"/>
              </w:numPr>
              <w:ind w:left="317" w:hanging="283"/>
            </w:pPr>
            <w:r>
              <w:t>99% were ‘small CEs’ so included in CCS and coverage estimation</w:t>
            </w:r>
          </w:p>
        </w:tc>
      </w:tr>
      <w:tr w:rsidR="00A653E7" w14:paraId="46288C6C" w14:textId="77777777" w:rsidTr="00033F8D">
        <w:tc>
          <w:tcPr>
            <w:tcW w:w="1306" w:type="dxa"/>
          </w:tcPr>
          <w:p w14:paraId="5C8AA13E" w14:textId="09AF243D" w:rsidR="00A653E7" w:rsidRDefault="00A653E7" w:rsidP="002B1876">
            <w:r>
              <w:t xml:space="preserve">Holiday </w:t>
            </w:r>
            <w:proofErr w:type="spellStart"/>
            <w:r>
              <w:t>accom</w:t>
            </w:r>
            <w:r w:rsidR="00C557F2">
              <w:t>m</w:t>
            </w:r>
            <w:proofErr w:type="spellEnd"/>
            <w:r w:rsidR="00C557F2">
              <w:t>.</w:t>
            </w:r>
            <w:r>
              <w:t xml:space="preserve"> (caravan parks etc)</w:t>
            </w:r>
          </w:p>
        </w:tc>
        <w:tc>
          <w:tcPr>
            <w:tcW w:w="1134" w:type="dxa"/>
          </w:tcPr>
          <w:p w14:paraId="4D58AABA" w14:textId="77777777" w:rsidR="00A653E7" w:rsidRDefault="00A653E7" w:rsidP="002B1876">
            <w:pPr>
              <w:jc w:val="right"/>
            </w:pPr>
            <w:r>
              <w:t>0.005%</w:t>
            </w:r>
          </w:p>
        </w:tc>
        <w:tc>
          <w:tcPr>
            <w:tcW w:w="1134" w:type="dxa"/>
          </w:tcPr>
          <w:p w14:paraId="4DABC005" w14:textId="77777777" w:rsidR="00A653E7" w:rsidRDefault="00A653E7" w:rsidP="002B1876">
            <w:pPr>
              <w:jc w:val="right"/>
            </w:pPr>
            <w:r>
              <w:t>0.3%</w:t>
            </w:r>
          </w:p>
          <w:p w14:paraId="5D9A8E4A" w14:textId="7C2E8152" w:rsidR="00033F8D" w:rsidRDefault="00033F8D" w:rsidP="002B1876">
            <w:pPr>
              <w:jc w:val="right"/>
            </w:pPr>
            <w:r>
              <w:t>(&lt;&lt;1% of 50+ CEs)</w:t>
            </w:r>
          </w:p>
        </w:tc>
        <w:tc>
          <w:tcPr>
            <w:tcW w:w="679" w:type="dxa"/>
          </w:tcPr>
          <w:p w14:paraId="0D519C3B" w14:textId="77777777" w:rsidR="00A653E7" w:rsidRDefault="00A653E7" w:rsidP="002B1876">
            <w:pPr>
              <w:ind w:left="22"/>
              <w:jc w:val="right"/>
            </w:pPr>
            <w:r>
              <w:t>92%</w:t>
            </w:r>
          </w:p>
        </w:tc>
        <w:tc>
          <w:tcPr>
            <w:tcW w:w="2434" w:type="dxa"/>
          </w:tcPr>
          <w:p w14:paraId="0EE333C4" w14:textId="77777777" w:rsidR="00A653E7" w:rsidRDefault="00A653E7" w:rsidP="002B1876">
            <w:pPr>
              <w:pStyle w:val="ListParagraph"/>
              <w:numPr>
                <w:ilvl w:val="0"/>
                <w:numId w:val="4"/>
              </w:numPr>
              <w:ind w:left="260" w:hanging="260"/>
            </w:pPr>
            <w:r>
              <w:t>Geographic clustering</w:t>
            </w:r>
          </w:p>
          <w:p w14:paraId="3D459FC0" w14:textId="77777777" w:rsidR="00A653E7" w:rsidRDefault="00A653E7" w:rsidP="002B1876">
            <w:pPr>
              <w:pStyle w:val="ListParagraph"/>
              <w:numPr>
                <w:ilvl w:val="0"/>
                <w:numId w:val="4"/>
              </w:numPr>
              <w:ind w:left="260" w:hanging="260"/>
            </w:pPr>
            <w:r>
              <w:t>Access (time of year)</w:t>
            </w:r>
          </w:p>
          <w:p w14:paraId="330E4F69" w14:textId="77777777" w:rsidR="00A653E7" w:rsidRDefault="00A653E7" w:rsidP="002B1876">
            <w:pPr>
              <w:pStyle w:val="ListParagraph"/>
              <w:numPr>
                <w:ilvl w:val="0"/>
                <w:numId w:val="4"/>
              </w:numPr>
              <w:ind w:left="260" w:hanging="260"/>
            </w:pPr>
            <w:r>
              <w:t>Definitions of usual residence</w:t>
            </w:r>
          </w:p>
        </w:tc>
        <w:tc>
          <w:tcPr>
            <w:tcW w:w="3260" w:type="dxa"/>
          </w:tcPr>
          <w:p w14:paraId="47092DA2" w14:textId="14331CA5" w:rsidR="00A653E7" w:rsidRDefault="00A653E7" w:rsidP="002B1876">
            <w:pPr>
              <w:pStyle w:val="ListParagraph"/>
              <w:numPr>
                <w:ilvl w:val="0"/>
                <w:numId w:val="4"/>
              </w:numPr>
              <w:ind w:left="317" w:hanging="283"/>
            </w:pPr>
            <w:r>
              <w:t>Area-specific validation</w:t>
            </w:r>
            <w:r w:rsidR="001108D5">
              <w:t>, investigating what sources are available</w:t>
            </w:r>
          </w:p>
        </w:tc>
      </w:tr>
      <w:tr w:rsidR="00A653E7" w14:paraId="652386F4" w14:textId="77777777" w:rsidTr="00033F8D">
        <w:tc>
          <w:tcPr>
            <w:tcW w:w="1306" w:type="dxa"/>
          </w:tcPr>
          <w:p w14:paraId="1C9FECA5" w14:textId="77777777" w:rsidR="00A653E7" w:rsidRDefault="00A653E7" w:rsidP="002B1876">
            <w:r>
              <w:t>Prison population</w:t>
            </w:r>
          </w:p>
        </w:tc>
        <w:tc>
          <w:tcPr>
            <w:tcW w:w="1134" w:type="dxa"/>
          </w:tcPr>
          <w:p w14:paraId="3E462E83" w14:textId="77777777" w:rsidR="00A653E7" w:rsidRDefault="00A653E7" w:rsidP="002B1876">
            <w:pPr>
              <w:jc w:val="right"/>
            </w:pPr>
            <w:r>
              <w:t>0.1%</w:t>
            </w:r>
          </w:p>
        </w:tc>
        <w:tc>
          <w:tcPr>
            <w:tcW w:w="1134" w:type="dxa"/>
          </w:tcPr>
          <w:p w14:paraId="3E716903" w14:textId="77777777" w:rsidR="00A653E7" w:rsidRDefault="00A653E7" w:rsidP="002B1876">
            <w:pPr>
              <w:jc w:val="right"/>
            </w:pPr>
            <w:r>
              <w:t>6.6%</w:t>
            </w:r>
          </w:p>
          <w:p w14:paraId="257336C0" w14:textId="4048072D" w:rsidR="00033F8D" w:rsidRDefault="00033F8D" w:rsidP="002B1876">
            <w:pPr>
              <w:jc w:val="right"/>
            </w:pPr>
            <w:r>
              <w:t>(7% of 50+CEs)</w:t>
            </w:r>
          </w:p>
        </w:tc>
        <w:tc>
          <w:tcPr>
            <w:tcW w:w="679" w:type="dxa"/>
          </w:tcPr>
          <w:p w14:paraId="50083173" w14:textId="77777777" w:rsidR="00A653E7" w:rsidRDefault="00A653E7" w:rsidP="002B1876">
            <w:pPr>
              <w:ind w:left="22"/>
              <w:jc w:val="right"/>
            </w:pPr>
            <w:r>
              <w:t>82%</w:t>
            </w:r>
          </w:p>
          <w:p w14:paraId="655DF07A" w14:textId="77777777" w:rsidR="00A653E7" w:rsidRDefault="00A653E7" w:rsidP="002B1876">
            <w:pPr>
              <w:ind w:left="22"/>
              <w:jc w:val="center"/>
            </w:pPr>
          </w:p>
        </w:tc>
        <w:tc>
          <w:tcPr>
            <w:tcW w:w="2434" w:type="dxa"/>
          </w:tcPr>
          <w:p w14:paraId="5FDF6125" w14:textId="77777777" w:rsidR="00A653E7" w:rsidRDefault="00A653E7" w:rsidP="002B1876">
            <w:pPr>
              <w:pStyle w:val="ListParagraph"/>
              <w:numPr>
                <w:ilvl w:val="0"/>
                <w:numId w:val="4"/>
              </w:numPr>
              <w:ind w:left="260" w:hanging="260"/>
            </w:pPr>
            <w:r>
              <w:t>Geographic clustering</w:t>
            </w:r>
          </w:p>
          <w:p w14:paraId="179EA6B4" w14:textId="77777777" w:rsidR="00A653E7" w:rsidRDefault="00A653E7" w:rsidP="002B1876">
            <w:pPr>
              <w:pStyle w:val="ListParagraph"/>
              <w:numPr>
                <w:ilvl w:val="0"/>
                <w:numId w:val="4"/>
              </w:numPr>
              <w:ind w:left="260" w:hanging="260"/>
            </w:pPr>
            <w:r>
              <w:t>Definitions, poor response rates</w:t>
            </w:r>
          </w:p>
        </w:tc>
        <w:tc>
          <w:tcPr>
            <w:tcW w:w="3260" w:type="dxa"/>
          </w:tcPr>
          <w:p w14:paraId="3C6E0E33" w14:textId="77777777" w:rsidR="00A653E7" w:rsidRDefault="00A653E7" w:rsidP="002B1876">
            <w:pPr>
              <w:pStyle w:val="ListParagraph"/>
              <w:numPr>
                <w:ilvl w:val="0"/>
                <w:numId w:val="4"/>
              </w:numPr>
              <w:ind w:left="317" w:hanging="283"/>
            </w:pPr>
            <w:proofErr w:type="spellStart"/>
            <w:r>
              <w:t>MoJ</w:t>
            </w:r>
            <w:proofErr w:type="spellEnd"/>
            <w:r>
              <w:t xml:space="preserve"> data on basic demographics</w:t>
            </w:r>
          </w:p>
        </w:tc>
      </w:tr>
      <w:tr w:rsidR="00A653E7" w14:paraId="74874731" w14:textId="77777777" w:rsidTr="00033F8D">
        <w:tc>
          <w:tcPr>
            <w:tcW w:w="1306" w:type="dxa"/>
          </w:tcPr>
          <w:p w14:paraId="1EFD22F9" w14:textId="77777777" w:rsidR="00A653E7" w:rsidRDefault="00A653E7" w:rsidP="002B1876">
            <w:r>
              <w:t>School boarders</w:t>
            </w:r>
          </w:p>
        </w:tc>
        <w:tc>
          <w:tcPr>
            <w:tcW w:w="1134" w:type="dxa"/>
          </w:tcPr>
          <w:p w14:paraId="7033663F" w14:textId="77777777" w:rsidR="00A653E7" w:rsidRDefault="00A653E7" w:rsidP="002B1876">
            <w:pPr>
              <w:jc w:val="right"/>
            </w:pPr>
            <w:r>
              <w:t>0.1%</w:t>
            </w:r>
          </w:p>
        </w:tc>
        <w:tc>
          <w:tcPr>
            <w:tcW w:w="1134" w:type="dxa"/>
          </w:tcPr>
          <w:p w14:paraId="68B8349F" w14:textId="77777777" w:rsidR="00A653E7" w:rsidRDefault="00A653E7" w:rsidP="002B1876">
            <w:pPr>
              <w:jc w:val="right"/>
            </w:pPr>
            <w:r>
              <w:t>6.4%</w:t>
            </w:r>
          </w:p>
          <w:p w14:paraId="7EE67D23" w14:textId="40F56731" w:rsidR="00033F8D" w:rsidRDefault="00033F8D" w:rsidP="002B1876">
            <w:pPr>
              <w:jc w:val="right"/>
            </w:pPr>
            <w:r>
              <w:t>(13% of 50+CEs)</w:t>
            </w:r>
          </w:p>
        </w:tc>
        <w:tc>
          <w:tcPr>
            <w:tcW w:w="679" w:type="dxa"/>
          </w:tcPr>
          <w:p w14:paraId="6B5BAA76" w14:textId="77777777" w:rsidR="00A653E7" w:rsidRDefault="00A653E7" w:rsidP="002B1876">
            <w:pPr>
              <w:ind w:left="22"/>
              <w:jc w:val="right"/>
            </w:pPr>
            <w:r>
              <w:t>95%</w:t>
            </w:r>
          </w:p>
        </w:tc>
        <w:tc>
          <w:tcPr>
            <w:tcW w:w="2434" w:type="dxa"/>
          </w:tcPr>
          <w:p w14:paraId="36A76FB9" w14:textId="77777777" w:rsidR="00A653E7" w:rsidRDefault="00A653E7" w:rsidP="002B1876">
            <w:pPr>
              <w:pStyle w:val="ListParagraph"/>
              <w:numPr>
                <w:ilvl w:val="0"/>
                <w:numId w:val="4"/>
              </w:numPr>
              <w:ind w:left="260" w:hanging="260"/>
            </w:pPr>
            <w:r>
              <w:t>Geographic clustering</w:t>
            </w:r>
          </w:p>
          <w:p w14:paraId="5075D39D" w14:textId="3100CD36" w:rsidR="00A653E7" w:rsidRDefault="00A653E7" w:rsidP="002B1876">
            <w:pPr>
              <w:pStyle w:val="ListParagraph"/>
              <w:numPr>
                <w:ilvl w:val="0"/>
                <w:numId w:val="4"/>
              </w:numPr>
              <w:ind w:left="260" w:hanging="260"/>
            </w:pPr>
            <w:r>
              <w:t>Duplication of response (parental home v term time)</w:t>
            </w:r>
          </w:p>
        </w:tc>
        <w:tc>
          <w:tcPr>
            <w:tcW w:w="3260" w:type="dxa"/>
          </w:tcPr>
          <w:p w14:paraId="53440BD8" w14:textId="67018A45" w:rsidR="00A653E7" w:rsidRDefault="001108D5" w:rsidP="002B1876">
            <w:pPr>
              <w:pStyle w:val="ListParagraph"/>
              <w:numPr>
                <w:ilvl w:val="0"/>
                <w:numId w:val="4"/>
              </w:numPr>
              <w:ind w:left="317" w:hanging="283"/>
            </w:pPr>
            <w:r>
              <w:t>Alternative data sources being investigated</w:t>
            </w:r>
          </w:p>
        </w:tc>
      </w:tr>
      <w:tr w:rsidR="00A653E7" w14:paraId="3C4E028F" w14:textId="77777777" w:rsidTr="00033F8D">
        <w:tc>
          <w:tcPr>
            <w:tcW w:w="1306" w:type="dxa"/>
          </w:tcPr>
          <w:p w14:paraId="04C307F5" w14:textId="77777777" w:rsidR="00A653E7" w:rsidRDefault="00A653E7" w:rsidP="002B1876">
            <w:r>
              <w:t>Armed Forces bases</w:t>
            </w:r>
          </w:p>
        </w:tc>
        <w:tc>
          <w:tcPr>
            <w:tcW w:w="1134" w:type="dxa"/>
          </w:tcPr>
          <w:p w14:paraId="4914FDDF" w14:textId="77777777" w:rsidR="00A653E7" w:rsidRDefault="00A653E7" w:rsidP="002B1876">
            <w:pPr>
              <w:jc w:val="right"/>
            </w:pPr>
            <w:r>
              <w:t>0.08%</w:t>
            </w:r>
          </w:p>
        </w:tc>
        <w:tc>
          <w:tcPr>
            <w:tcW w:w="1134" w:type="dxa"/>
          </w:tcPr>
          <w:p w14:paraId="6723FD04" w14:textId="77777777" w:rsidR="00A653E7" w:rsidRDefault="00A653E7" w:rsidP="002B1876">
            <w:pPr>
              <w:jc w:val="right"/>
            </w:pPr>
            <w:r>
              <w:t>4.3%</w:t>
            </w:r>
          </w:p>
          <w:p w14:paraId="455C32DF" w14:textId="0D8731F9" w:rsidR="00033F8D" w:rsidRDefault="00033F8D" w:rsidP="002B1876">
            <w:pPr>
              <w:jc w:val="right"/>
            </w:pPr>
            <w:r>
              <w:t>(6% of 50+CEs)</w:t>
            </w:r>
          </w:p>
        </w:tc>
        <w:tc>
          <w:tcPr>
            <w:tcW w:w="679" w:type="dxa"/>
          </w:tcPr>
          <w:p w14:paraId="7D186D33" w14:textId="77777777" w:rsidR="00A653E7" w:rsidRDefault="00A653E7" w:rsidP="002B1876">
            <w:pPr>
              <w:ind w:left="22"/>
              <w:jc w:val="right"/>
            </w:pPr>
            <w:r>
              <w:t>85%</w:t>
            </w:r>
          </w:p>
        </w:tc>
        <w:tc>
          <w:tcPr>
            <w:tcW w:w="2434" w:type="dxa"/>
          </w:tcPr>
          <w:p w14:paraId="2D2235B7" w14:textId="77777777" w:rsidR="00A653E7" w:rsidRDefault="00A653E7" w:rsidP="002B1876">
            <w:pPr>
              <w:pStyle w:val="ListParagraph"/>
              <w:numPr>
                <w:ilvl w:val="0"/>
                <w:numId w:val="4"/>
              </w:numPr>
              <w:ind w:left="260" w:hanging="260"/>
            </w:pPr>
            <w:r>
              <w:t>Geographic clustering</w:t>
            </w:r>
          </w:p>
          <w:p w14:paraId="14736E72" w14:textId="77777777" w:rsidR="00A653E7" w:rsidRDefault="00A653E7" w:rsidP="002B1876">
            <w:pPr>
              <w:pStyle w:val="ListParagraph"/>
              <w:numPr>
                <w:ilvl w:val="0"/>
                <w:numId w:val="4"/>
              </w:numPr>
              <w:ind w:left="260" w:hanging="260"/>
            </w:pPr>
            <w:r>
              <w:t>Families included in comparator data or not</w:t>
            </w:r>
          </w:p>
        </w:tc>
        <w:tc>
          <w:tcPr>
            <w:tcW w:w="3260" w:type="dxa"/>
          </w:tcPr>
          <w:p w14:paraId="2B60D166" w14:textId="00C175FC" w:rsidR="00A653E7" w:rsidRDefault="00A653E7" w:rsidP="002B1876">
            <w:pPr>
              <w:pStyle w:val="ListParagraph"/>
              <w:numPr>
                <w:ilvl w:val="0"/>
                <w:numId w:val="4"/>
              </w:numPr>
              <w:ind w:left="317" w:hanging="283"/>
            </w:pPr>
            <w:r>
              <w:t>Use of MoD/USAF data – but to note that these sources can’t separate out base v residence address</w:t>
            </w:r>
          </w:p>
        </w:tc>
      </w:tr>
    </w:tbl>
    <w:p w14:paraId="4D29BFAB" w14:textId="77777777" w:rsidR="008532BB" w:rsidRDefault="008532BB" w:rsidP="00F60670">
      <w:pPr>
        <w:spacing w:after="0"/>
        <w:rPr>
          <w:rFonts w:cstheme="minorHAnsi"/>
          <w:b/>
          <w:bCs/>
          <w:sz w:val="24"/>
          <w:szCs w:val="24"/>
        </w:rPr>
      </w:pPr>
    </w:p>
    <w:p w14:paraId="158CEAD2" w14:textId="77777777" w:rsidR="008532BB" w:rsidRDefault="008532BB">
      <w:pPr>
        <w:rPr>
          <w:rFonts w:cstheme="minorHAnsi"/>
          <w:b/>
          <w:bCs/>
          <w:sz w:val="24"/>
          <w:szCs w:val="24"/>
        </w:rPr>
      </w:pPr>
      <w:r>
        <w:rPr>
          <w:rFonts w:cstheme="minorHAnsi"/>
          <w:b/>
          <w:bCs/>
          <w:sz w:val="24"/>
          <w:szCs w:val="24"/>
        </w:rPr>
        <w:br w:type="page"/>
      </w:r>
    </w:p>
    <w:p w14:paraId="3214CD1A" w14:textId="14B92D06" w:rsidR="008532BB" w:rsidRDefault="008532BB" w:rsidP="008532BB">
      <w:pPr>
        <w:spacing w:after="0"/>
        <w:rPr>
          <w:b/>
          <w:bCs/>
          <w:sz w:val="24"/>
          <w:szCs w:val="24"/>
        </w:rPr>
      </w:pPr>
      <w:r w:rsidRPr="008532BB">
        <w:rPr>
          <w:b/>
          <w:bCs/>
          <w:sz w:val="24"/>
          <w:szCs w:val="24"/>
        </w:rPr>
        <w:lastRenderedPageBreak/>
        <w:t>Addressing</w:t>
      </w:r>
    </w:p>
    <w:p w14:paraId="1F00FFB2" w14:textId="77777777" w:rsidR="008532BB" w:rsidRPr="008532BB" w:rsidRDefault="008532BB" w:rsidP="008532BB">
      <w:pPr>
        <w:spacing w:after="0"/>
        <w:rPr>
          <w:b/>
          <w:bCs/>
          <w:sz w:val="24"/>
          <w:szCs w:val="24"/>
        </w:rPr>
      </w:pPr>
    </w:p>
    <w:p w14:paraId="630D2CD2" w14:textId="77777777" w:rsidR="008532BB" w:rsidRDefault="008532BB" w:rsidP="008532BB">
      <w:pPr>
        <w:spacing w:after="0"/>
      </w:pPr>
      <w:r>
        <w:t xml:space="preserve">An accurate address frame is essential to enable us to identify the communal establishments and target those living in CEs and SPGs with a tailored approach. </w:t>
      </w:r>
      <w:r>
        <w:rPr>
          <w:rStyle w:val="normaltextrun1"/>
          <w:rFonts w:ascii="Calibri" w:hAnsi="Calibri" w:cs="Calibri"/>
        </w:rPr>
        <w:t xml:space="preserve">The frame is based on </w:t>
      </w:r>
      <w:proofErr w:type="spellStart"/>
      <w:r>
        <w:rPr>
          <w:rStyle w:val="normaltextrun1"/>
          <w:rFonts w:ascii="Calibri" w:hAnsi="Calibri" w:cs="Calibri"/>
        </w:rPr>
        <w:t>AddressBase</w:t>
      </w:r>
      <w:proofErr w:type="spellEnd"/>
      <w:r>
        <w:rPr>
          <w:rStyle w:val="normaltextrun1"/>
          <w:rFonts w:ascii="Calibri" w:hAnsi="Calibri" w:cs="Calibri"/>
        </w:rPr>
        <w:t xml:space="preserve"> Premium (ABP) which is widely used across both the public and private sector and is continually updated by </w:t>
      </w:r>
      <w:proofErr w:type="spellStart"/>
      <w:r>
        <w:rPr>
          <w:rStyle w:val="normaltextrun1"/>
          <w:rFonts w:ascii="Calibri" w:hAnsi="Calibri" w:cs="Calibri"/>
        </w:rPr>
        <w:t>Geoplace</w:t>
      </w:r>
      <w:proofErr w:type="spellEnd"/>
      <w:r>
        <w:rPr>
          <w:rStyle w:val="normaltextrun1"/>
          <w:rFonts w:ascii="Calibri" w:hAnsi="Calibri" w:cs="Calibri"/>
        </w:rPr>
        <w:t>. It uses Local Land and Property Gazetteers (LLPGs) in conjunction with a range of address intelligence sources such as from the Valuation Office Agency, Royal Mail and Ordnance Survey. Address type classifications from ABP are initially used to establish the type of address (whether a CE or household address, and if a CE whether it is a prison or a care home, for example).</w:t>
      </w:r>
    </w:p>
    <w:p w14:paraId="0B7D4DFB" w14:textId="77777777" w:rsidR="008532BB" w:rsidRDefault="008532BB" w:rsidP="008532BB">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xml:space="preserve">Because communal establishments present particular challenges for addressing, the frame initially created from </w:t>
      </w:r>
      <w:proofErr w:type="spellStart"/>
      <w:r>
        <w:rPr>
          <w:rStyle w:val="normaltextrun1"/>
          <w:rFonts w:ascii="Calibri" w:hAnsi="Calibri" w:cs="Calibri"/>
          <w:sz w:val="22"/>
          <w:szCs w:val="22"/>
        </w:rPr>
        <w:t>AddressBase</w:t>
      </w:r>
      <w:proofErr w:type="spellEnd"/>
      <w:r>
        <w:rPr>
          <w:rStyle w:val="normaltextrun1"/>
          <w:rFonts w:ascii="Calibri" w:hAnsi="Calibri" w:cs="Calibri"/>
          <w:sz w:val="22"/>
          <w:szCs w:val="22"/>
        </w:rPr>
        <w:t xml:space="preserve"> is supplemented with further information, which enables us to validate the address frame classifications, establish completeness (to make sure no CEs are missing from the frame) and also add in additional information where needed, such as the number of bed spaces. The following administrative and commercial sources are used for these purposes:</w:t>
      </w:r>
    </w:p>
    <w:p w14:paraId="612559EB" w14:textId="77777777" w:rsidR="008532BB" w:rsidRDefault="008532BB" w:rsidP="008532BB">
      <w:pPr>
        <w:pStyle w:val="paragraph"/>
        <w:textAlignment w:val="baseline"/>
        <w:rPr>
          <w:rStyle w:val="normaltextrun1"/>
          <w:rFonts w:ascii="Calibri" w:hAnsi="Calibri" w:cs="Calibri"/>
          <w:sz w:val="22"/>
          <w:szCs w:val="22"/>
        </w:rPr>
      </w:pPr>
    </w:p>
    <w:p w14:paraId="70F76E00" w14:textId="77777777" w:rsidR="008532BB" w:rsidRDefault="008532BB" w:rsidP="008532BB">
      <w:pPr>
        <w:pStyle w:val="paragraph"/>
        <w:numPr>
          <w:ilvl w:val="0"/>
          <w:numId w:val="9"/>
        </w:numPr>
        <w:ind w:left="360" w:firstLine="0"/>
        <w:textAlignment w:val="baseline"/>
        <w:rPr>
          <w:rFonts w:ascii="Calibri" w:hAnsi="Calibri" w:cs="Calibri"/>
          <w:sz w:val="22"/>
          <w:szCs w:val="22"/>
        </w:rPr>
      </w:pPr>
      <w:r>
        <w:rPr>
          <w:rStyle w:val="normaltextrun1"/>
          <w:rFonts w:ascii="Calibri" w:hAnsi="Calibri" w:cs="Calibri"/>
          <w:sz w:val="22"/>
          <w:szCs w:val="22"/>
        </w:rPr>
        <w:t>Cushman and Wakefield (Student Halls)</w:t>
      </w:r>
      <w:r>
        <w:rPr>
          <w:rStyle w:val="eop"/>
          <w:rFonts w:ascii="Calibri" w:hAnsi="Calibri" w:cs="Calibri"/>
          <w:sz w:val="22"/>
          <w:szCs w:val="22"/>
        </w:rPr>
        <w:t> </w:t>
      </w:r>
    </w:p>
    <w:p w14:paraId="5F43E9D6" w14:textId="77777777" w:rsidR="008532BB" w:rsidRDefault="008532BB" w:rsidP="008532BB">
      <w:pPr>
        <w:pStyle w:val="paragraph"/>
        <w:numPr>
          <w:ilvl w:val="0"/>
          <w:numId w:val="9"/>
        </w:numPr>
        <w:ind w:left="360" w:firstLine="0"/>
        <w:textAlignment w:val="baseline"/>
        <w:rPr>
          <w:rFonts w:ascii="Calibri" w:hAnsi="Calibri" w:cs="Calibri"/>
          <w:sz w:val="22"/>
          <w:szCs w:val="22"/>
        </w:rPr>
      </w:pPr>
      <w:r>
        <w:rPr>
          <w:rStyle w:val="normaltextrun1"/>
          <w:rFonts w:ascii="Calibri" w:hAnsi="Calibri" w:cs="Calibri"/>
          <w:sz w:val="22"/>
          <w:szCs w:val="22"/>
        </w:rPr>
        <w:t>Care Quality Commission and Care Inspectorate Wales (Care Homes)</w:t>
      </w:r>
      <w:r>
        <w:rPr>
          <w:rStyle w:val="eop"/>
          <w:rFonts w:ascii="Calibri" w:hAnsi="Calibri" w:cs="Calibri"/>
          <w:sz w:val="22"/>
          <w:szCs w:val="22"/>
        </w:rPr>
        <w:t> </w:t>
      </w:r>
    </w:p>
    <w:p w14:paraId="4B6EB00D" w14:textId="77777777" w:rsidR="008532BB" w:rsidRDefault="008532BB" w:rsidP="008532BB">
      <w:pPr>
        <w:pStyle w:val="paragraph"/>
        <w:numPr>
          <w:ilvl w:val="0"/>
          <w:numId w:val="9"/>
        </w:numPr>
        <w:ind w:left="360" w:firstLine="0"/>
        <w:textAlignment w:val="baseline"/>
        <w:rPr>
          <w:rFonts w:ascii="Calibri" w:hAnsi="Calibri" w:cs="Calibri"/>
          <w:sz w:val="22"/>
          <w:szCs w:val="22"/>
        </w:rPr>
      </w:pPr>
      <w:r>
        <w:rPr>
          <w:rStyle w:val="normaltextrun1"/>
          <w:rFonts w:ascii="Calibri" w:hAnsi="Calibri" w:cs="Calibri"/>
          <w:sz w:val="22"/>
          <w:szCs w:val="22"/>
        </w:rPr>
        <w:t>Ministry of Defence and US Armed Forces (Armed Forces Bases)</w:t>
      </w:r>
      <w:r>
        <w:rPr>
          <w:rStyle w:val="eop"/>
          <w:rFonts w:ascii="Calibri" w:hAnsi="Calibri" w:cs="Calibri"/>
          <w:sz w:val="22"/>
          <w:szCs w:val="22"/>
        </w:rPr>
        <w:t> </w:t>
      </w:r>
    </w:p>
    <w:p w14:paraId="7064BF7B" w14:textId="77777777" w:rsidR="008532BB" w:rsidRDefault="008532BB" w:rsidP="008532BB">
      <w:pPr>
        <w:pStyle w:val="paragraph"/>
        <w:numPr>
          <w:ilvl w:val="0"/>
          <w:numId w:val="9"/>
        </w:numPr>
        <w:ind w:left="360" w:firstLine="0"/>
        <w:textAlignment w:val="baseline"/>
        <w:rPr>
          <w:rFonts w:ascii="Calibri" w:hAnsi="Calibri" w:cs="Calibri"/>
          <w:sz w:val="22"/>
          <w:szCs w:val="22"/>
        </w:rPr>
      </w:pPr>
      <w:r>
        <w:rPr>
          <w:rStyle w:val="normaltextrun1"/>
          <w:rFonts w:ascii="Calibri" w:hAnsi="Calibri" w:cs="Calibri"/>
          <w:sz w:val="22"/>
          <w:szCs w:val="22"/>
        </w:rPr>
        <w:t>Ministry of Justice (Prisons)</w:t>
      </w:r>
      <w:r>
        <w:rPr>
          <w:rStyle w:val="eop"/>
          <w:rFonts w:ascii="Calibri" w:hAnsi="Calibri" w:cs="Calibri"/>
          <w:sz w:val="22"/>
          <w:szCs w:val="22"/>
        </w:rPr>
        <w:t> </w:t>
      </w:r>
    </w:p>
    <w:p w14:paraId="6412CCF0" w14:textId="77777777" w:rsidR="008532BB" w:rsidRDefault="008532BB" w:rsidP="008532BB">
      <w:pPr>
        <w:pStyle w:val="paragraph"/>
        <w:numPr>
          <w:ilvl w:val="0"/>
          <w:numId w:val="10"/>
        </w:numPr>
        <w:ind w:left="360" w:firstLine="0"/>
        <w:textAlignment w:val="baseline"/>
        <w:rPr>
          <w:rFonts w:ascii="Calibri" w:hAnsi="Calibri" w:cs="Calibri"/>
          <w:sz w:val="22"/>
          <w:szCs w:val="22"/>
        </w:rPr>
      </w:pPr>
      <w:proofErr w:type="spellStart"/>
      <w:r>
        <w:rPr>
          <w:rStyle w:val="normaltextrun1"/>
          <w:rFonts w:ascii="Calibri" w:hAnsi="Calibri" w:cs="Calibri"/>
          <w:sz w:val="22"/>
          <w:szCs w:val="22"/>
        </w:rPr>
        <w:t>Edubase</w:t>
      </w:r>
      <w:proofErr w:type="spellEnd"/>
      <w:r>
        <w:rPr>
          <w:rStyle w:val="normaltextrun1"/>
          <w:rFonts w:ascii="Calibri" w:hAnsi="Calibri" w:cs="Calibri"/>
          <w:sz w:val="22"/>
          <w:szCs w:val="22"/>
        </w:rPr>
        <w:t xml:space="preserve"> (Boarding Schools)</w:t>
      </w:r>
      <w:r>
        <w:rPr>
          <w:rStyle w:val="eop"/>
          <w:rFonts w:ascii="Calibri" w:hAnsi="Calibri" w:cs="Calibri"/>
          <w:sz w:val="22"/>
          <w:szCs w:val="22"/>
        </w:rPr>
        <w:t> </w:t>
      </w:r>
    </w:p>
    <w:p w14:paraId="404D0BBF" w14:textId="77777777" w:rsidR="008532BB" w:rsidRDefault="008532BB" w:rsidP="008532BB">
      <w:pPr>
        <w:pStyle w:val="paragraph"/>
        <w:numPr>
          <w:ilvl w:val="0"/>
          <w:numId w:val="10"/>
        </w:numPr>
        <w:ind w:left="360" w:firstLine="0"/>
        <w:textAlignment w:val="baseline"/>
        <w:rPr>
          <w:rStyle w:val="eop"/>
          <w:rFonts w:ascii="Calibri" w:hAnsi="Calibri" w:cs="Calibri"/>
          <w:sz w:val="22"/>
          <w:szCs w:val="22"/>
        </w:rPr>
      </w:pPr>
      <w:r>
        <w:rPr>
          <w:rStyle w:val="normaltextrun1"/>
          <w:rFonts w:ascii="Calibri" w:hAnsi="Calibri" w:cs="Calibri"/>
          <w:sz w:val="22"/>
          <w:szCs w:val="22"/>
        </w:rPr>
        <w:t>Ministry of Communities and Local Government Survey of Traveller Sites (Travelling Persons)</w:t>
      </w:r>
      <w:r>
        <w:rPr>
          <w:rStyle w:val="eop"/>
          <w:rFonts w:ascii="Calibri" w:hAnsi="Calibri" w:cs="Calibri"/>
          <w:sz w:val="22"/>
          <w:szCs w:val="22"/>
        </w:rPr>
        <w:t> </w:t>
      </w:r>
    </w:p>
    <w:p w14:paraId="66C88230" w14:textId="77777777" w:rsidR="008532BB" w:rsidRDefault="008532BB" w:rsidP="008532BB">
      <w:pPr>
        <w:pStyle w:val="paragraph"/>
        <w:ind w:left="360"/>
        <w:textAlignment w:val="baseline"/>
        <w:rPr>
          <w:rFonts w:ascii="Calibri" w:hAnsi="Calibri" w:cs="Calibri"/>
          <w:sz w:val="22"/>
          <w:szCs w:val="22"/>
        </w:rPr>
      </w:pPr>
    </w:p>
    <w:p w14:paraId="29D8C7DF" w14:textId="77777777" w:rsidR="008532BB" w:rsidRDefault="008532BB" w:rsidP="008532BB">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xml:space="preserve">The initial frame is based on an </w:t>
      </w:r>
      <w:proofErr w:type="spellStart"/>
      <w:r>
        <w:rPr>
          <w:rStyle w:val="normaltextrun1"/>
          <w:rFonts w:ascii="Calibri" w:hAnsi="Calibri" w:cs="Calibri"/>
          <w:sz w:val="22"/>
          <w:szCs w:val="22"/>
        </w:rPr>
        <w:t>AddressBase</w:t>
      </w:r>
      <w:proofErr w:type="spellEnd"/>
      <w:r>
        <w:rPr>
          <w:rStyle w:val="normaltextrun1"/>
          <w:rFonts w:ascii="Calibri" w:hAnsi="Calibri" w:cs="Calibri"/>
          <w:sz w:val="22"/>
          <w:szCs w:val="22"/>
        </w:rPr>
        <w:t xml:space="preserve"> extract taken in summer 2020. A further extract from </w:t>
      </w:r>
      <w:proofErr w:type="spellStart"/>
      <w:r>
        <w:rPr>
          <w:rStyle w:val="normaltextrun1"/>
          <w:rFonts w:ascii="Calibri" w:hAnsi="Calibri" w:cs="Calibri"/>
          <w:sz w:val="22"/>
          <w:szCs w:val="22"/>
        </w:rPr>
        <w:t>AddressBase</w:t>
      </w:r>
      <w:proofErr w:type="spellEnd"/>
      <w:r>
        <w:rPr>
          <w:rStyle w:val="normaltextrun1"/>
          <w:rFonts w:ascii="Calibri" w:hAnsi="Calibri" w:cs="Calibri"/>
          <w:sz w:val="22"/>
          <w:szCs w:val="22"/>
        </w:rPr>
        <w:t xml:space="preserve"> is then extracted in December 2020 to account for any new CE addresses and changes in type from household to CE and vice-versa. The administrative and commercial sources listed above will be used to identify changes in communal establishments at this time to ensure that we have the most up-to-date and accurate frame to underpin the 2021 Census, and ensure that all CEs in England and Wales receive invitations to take part in the census and the appropriate number of forms are delivered.</w:t>
      </w:r>
    </w:p>
    <w:p w14:paraId="7C788FB3" w14:textId="77777777" w:rsidR="008532BB" w:rsidRDefault="008532BB" w:rsidP="008532BB">
      <w:pPr>
        <w:pStyle w:val="paragraph"/>
        <w:textAlignment w:val="baseline"/>
        <w:rPr>
          <w:rStyle w:val="normaltextrun1"/>
          <w:rFonts w:ascii="Calibri" w:hAnsi="Calibri" w:cs="Calibri"/>
          <w:sz w:val="22"/>
          <w:szCs w:val="22"/>
        </w:rPr>
      </w:pPr>
    </w:p>
    <w:p w14:paraId="382DB020" w14:textId="1477CDE5" w:rsidR="008532BB" w:rsidRDefault="008532BB" w:rsidP="008532BB">
      <w:pPr>
        <w:pStyle w:val="paragraph"/>
        <w:textAlignment w:val="baseline"/>
        <w:rPr>
          <w:rStyle w:val="normaltextrun1"/>
          <w:rFonts w:ascii="Calibri" w:hAnsi="Calibri" w:cs="Calibri"/>
          <w:sz w:val="22"/>
          <w:szCs w:val="22"/>
        </w:rPr>
      </w:pPr>
      <w:r w:rsidRPr="0080636F">
        <w:rPr>
          <w:rStyle w:val="normaltextrun1"/>
          <w:rFonts w:ascii="Calibri" w:hAnsi="Calibri" w:cs="Calibri"/>
          <w:sz w:val="22"/>
          <w:szCs w:val="22"/>
        </w:rPr>
        <w:t xml:space="preserve">Where </w:t>
      </w:r>
      <w:proofErr w:type="spellStart"/>
      <w:r w:rsidRPr="0080636F">
        <w:rPr>
          <w:rStyle w:val="normaltextrun1"/>
          <w:rFonts w:ascii="Calibri" w:hAnsi="Calibri" w:cs="Calibri"/>
          <w:sz w:val="22"/>
          <w:szCs w:val="22"/>
        </w:rPr>
        <w:t>AddressBase</w:t>
      </w:r>
      <w:proofErr w:type="spellEnd"/>
      <w:r w:rsidRPr="0080636F">
        <w:rPr>
          <w:rStyle w:val="normaltextrun1"/>
          <w:rFonts w:ascii="Calibri" w:hAnsi="Calibri" w:cs="Calibri"/>
          <w:sz w:val="22"/>
          <w:szCs w:val="22"/>
        </w:rPr>
        <w:t xml:space="preserve"> and other data sources are either of uncertain quality, or do not provide enough information for addressing or beds</w:t>
      </w:r>
      <w:r w:rsidR="00727059">
        <w:rPr>
          <w:rStyle w:val="normaltextrun1"/>
          <w:rFonts w:ascii="Calibri" w:hAnsi="Calibri" w:cs="Calibri"/>
          <w:sz w:val="22"/>
          <w:szCs w:val="22"/>
        </w:rPr>
        <w:t xml:space="preserve"> </w:t>
      </w:r>
      <w:r w:rsidRPr="0080636F">
        <w:rPr>
          <w:rStyle w:val="normaltextrun1"/>
          <w:rFonts w:ascii="Calibri" w:hAnsi="Calibri" w:cs="Calibri"/>
          <w:sz w:val="22"/>
          <w:szCs w:val="22"/>
        </w:rPr>
        <w:t>paces, there has been concerted desk</w:t>
      </w:r>
      <w:r>
        <w:rPr>
          <w:rStyle w:val="normaltextrun1"/>
          <w:rFonts w:ascii="Calibri" w:hAnsi="Calibri" w:cs="Calibri"/>
          <w:sz w:val="22"/>
          <w:szCs w:val="22"/>
        </w:rPr>
        <w:t>-</w:t>
      </w:r>
      <w:r w:rsidRPr="0080636F">
        <w:rPr>
          <w:rStyle w:val="normaltextrun1"/>
          <w:rFonts w:ascii="Calibri" w:hAnsi="Calibri" w:cs="Calibri"/>
          <w:sz w:val="22"/>
          <w:szCs w:val="22"/>
        </w:rPr>
        <w:t>based research and clerical work to enhance the address frame. The Communal Establishment Address Resolution Team (CEART) has undertaken this clerical resolution work from May 2020 to confirm address types and capacity information. This additional enhancement to the address frame will assist with the field operations during live collection and ensure there is appropriate coverage</w:t>
      </w:r>
      <w:r>
        <w:rPr>
          <w:rStyle w:val="normaltextrun1"/>
          <w:rFonts w:ascii="Calibri" w:hAnsi="Calibri" w:cs="Calibri"/>
          <w:sz w:val="22"/>
          <w:szCs w:val="22"/>
        </w:rPr>
        <w:t>.</w:t>
      </w:r>
    </w:p>
    <w:p w14:paraId="4BCA9D42" w14:textId="77777777" w:rsidR="008532BB" w:rsidRDefault="008532BB" w:rsidP="008532BB">
      <w:pPr>
        <w:pStyle w:val="paragraph"/>
        <w:textAlignment w:val="baseline"/>
        <w:rPr>
          <w:rStyle w:val="normaltextrun1"/>
          <w:rFonts w:ascii="Calibri" w:hAnsi="Calibri" w:cs="Calibri"/>
          <w:sz w:val="22"/>
          <w:szCs w:val="22"/>
        </w:rPr>
      </w:pPr>
    </w:p>
    <w:p w14:paraId="36FFBA74" w14:textId="77777777" w:rsidR="008532BB" w:rsidRDefault="008532BB" w:rsidP="008532BB">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 xml:space="preserve">A particular challenge to addressing when it comes to communal establishments is obtaining accurate unit-level (room-level) addresses. While initial contact material may be distributed without the need for unit-level addresses, identifying which of the residents have, or have not, responded during follow-up visits is much more challenging and considerably less effective when unit level addresses are not available. For some establishments, such as care homes, unit-level addresses may simply not </w:t>
      </w:r>
      <w:proofErr w:type="gramStart"/>
      <w:r>
        <w:rPr>
          <w:rStyle w:val="normaltextrun1"/>
          <w:rFonts w:ascii="Calibri" w:hAnsi="Calibri" w:cs="Calibri"/>
          <w:sz w:val="22"/>
          <w:szCs w:val="22"/>
        </w:rPr>
        <w:t>exist</w:t>
      </w:r>
      <w:proofErr w:type="gramEnd"/>
      <w:r>
        <w:rPr>
          <w:rStyle w:val="normaltextrun1"/>
          <w:rFonts w:ascii="Calibri" w:hAnsi="Calibri" w:cs="Calibri"/>
          <w:sz w:val="22"/>
          <w:szCs w:val="22"/>
        </w:rPr>
        <w:t xml:space="preserve"> or it may be inappropriate to follow-up at this level. For smaller CEs, such as hotels and hostels, unit-level follow-up may not be necessary as there are usually only a small number of usual residents at that address. However, for student halls of residence, which may contain a very large number of students, who are unlikely to interact with the CE manager, unit level follow-up is essential for an effective follow-up process. A decision has been made, therefore, to invest significant effort in obtaining unit-level addresses for student halls of residence through engagement with universities, local authorities and using commercial data sources. Only establishment level addresses will be used for other CE types.</w:t>
      </w:r>
    </w:p>
    <w:p w14:paraId="31FCB403" w14:textId="77777777" w:rsidR="008532BB" w:rsidRDefault="008532BB" w:rsidP="008532BB">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lastRenderedPageBreak/>
        <w:t>Processes have been developed to ensure that any new CEs (including those misclassified as households in the initial frame) identified in the field, or at any time between the delivery of the address frame and the start of field operations, including unit-level addresses where appropriate, can be added to the address list and ensure that paper forms or access codes are delivered as appropriate.</w:t>
      </w:r>
    </w:p>
    <w:p w14:paraId="4692B43A" w14:textId="77777777" w:rsidR="008532BB" w:rsidRDefault="008532BB" w:rsidP="008532BB">
      <w:pPr>
        <w:pStyle w:val="paragraph"/>
        <w:textAlignment w:val="baseline"/>
        <w:rPr>
          <w:rStyle w:val="normaltextrun1"/>
          <w:rFonts w:ascii="Calibri" w:hAnsi="Calibri" w:cs="Calibri"/>
          <w:sz w:val="22"/>
          <w:szCs w:val="22"/>
        </w:rPr>
      </w:pPr>
    </w:p>
    <w:p w14:paraId="0518E672" w14:textId="77777777" w:rsidR="008532BB" w:rsidRDefault="008532BB" w:rsidP="008532BB">
      <w:pPr>
        <w:pStyle w:val="paragraph"/>
        <w:textAlignment w:val="baseline"/>
        <w:rPr>
          <w:rStyle w:val="normaltextrun1"/>
          <w:rFonts w:ascii="Calibri" w:hAnsi="Calibri" w:cs="Calibri"/>
          <w:sz w:val="22"/>
          <w:szCs w:val="22"/>
        </w:rPr>
      </w:pPr>
    </w:p>
    <w:p w14:paraId="274D60EF" w14:textId="53228A7B" w:rsidR="008532BB" w:rsidRDefault="008532BB" w:rsidP="008532BB">
      <w:pPr>
        <w:spacing w:after="0"/>
        <w:rPr>
          <w:b/>
          <w:bCs/>
          <w:sz w:val="24"/>
          <w:szCs w:val="24"/>
        </w:rPr>
      </w:pPr>
      <w:r w:rsidRPr="008532BB">
        <w:rPr>
          <w:b/>
          <w:bCs/>
          <w:sz w:val="24"/>
          <w:szCs w:val="24"/>
        </w:rPr>
        <w:t>Collection Operation</w:t>
      </w:r>
    </w:p>
    <w:p w14:paraId="6F2764AD" w14:textId="77777777" w:rsidR="00727059" w:rsidRPr="008532BB" w:rsidRDefault="00727059" w:rsidP="008532BB">
      <w:pPr>
        <w:spacing w:after="0"/>
        <w:rPr>
          <w:b/>
          <w:bCs/>
          <w:sz w:val="24"/>
          <w:szCs w:val="24"/>
        </w:rPr>
      </w:pPr>
    </w:p>
    <w:p w14:paraId="5E8C692B" w14:textId="045E1234" w:rsidR="008532BB" w:rsidRDefault="008532BB" w:rsidP="008532BB">
      <w:pPr>
        <w:spacing w:after="0"/>
      </w:pPr>
      <w:r>
        <w:t>All managers of CEs are asked (and are legally obliged) to complete a ‘CE1’ form – a short questionnaire asking about the type of establishment, the type of resident it caters for and the count of usual residents and visitors on Census Day (21</w:t>
      </w:r>
      <w:r w:rsidRPr="005F4E51">
        <w:rPr>
          <w:vertAlign w:val="superscript"/>
        </w:rPr>
        <w:t>st</w:t>
      </w:r>
      <w:r>
        <w:t xml:space="preserve"> of March 2021). All usual residents are requested to complete an individual form, containing the same individual questions as the individual portion for the household form.</w:t>
      </w:r>
    </w:p>
    <w:p w14:paraId="27ED13C2" w14:textId="77777777" w:rsidR="008532BB" w:rsidRDefault="008532BB" w:rsidP="008532BB">
      <w:pPr>
        <w:spacing w:after="0"/>
      </w:pPr>
    </w:p>
    <w:p w14:paraId="4BAB873D" w14:textId="4D1BBC2A" w:rsidR="008532BB" w:rsidRDefault="008532BB" w:rsidP="008532BB">
      <w:pPr>
        <w:spacing w:after="0"/>
      </w:pPr>
      <w:r>
        <w:t>Usual residents are defined as anyone who usually lives at the address (including staff) and is expecting to stay there for 6 months or more, or anyone who has no other usual address in the UK. Those expecting to stay for less than 6 months, who also have another address where they are usually resident in the UK, are counted as visitors and should not complete an individual form at the CE address but should be included on a form at their usual address.</w:t>
      </w:r>
    </w:p>
    <w:p w14:paraId="3C0E640F" w14:textId="77777777" w:rsidR="008532BB" w:rsidRPr="005F4E51" w:rsidRDefault="008532BB" w:rsidP="008532BB">
      <w:pPr>
        <w:spacing w:after="0"/>
      </w:pPr>
    </w:p>
    <w:p w14:paraId="0E70093A" w14:textId="77777777" w:rsidR="008532BB" w:rsidRDefault="008532BB" w:rsidP="008532BB">
      <w:pPr>
        <w:spacing w:after="0"/>
      </w:pPr>
      <w:r>
        <w:t>Households classified as Special Population Groups (SPGs) complete a standard household form.</w:t>
      </w:r>
    </w:p>
    <w:p w14:paraId="7B1EB648" w14:textId="0F217443" w:rsidR="008532BB" w:rsidRDefault="008532BB" w:rsidP="008532BB">
      <w:pPr>
        <w:spacing w:after="0"/>
      </w:pPr>
      <w:r>
        <w:t>The type of establishment or SPG is used to determine whether residents receive an invitation letter with an individual access code to enable them to respond online (with the option of requesting a paper questionnaire if they wish) or a paper questionnaire (including an access code to enable them to respond online if they prefer). The decision around the mode of initial contact is determined by respondent need and the likely impact on response, whilst encouraging people to respond online if they have the means to do so.</w:t>
      </w:r>
    </w:p>
    <w:p w14:paraId="1175D588" w14:textId="77777777" w:rsidR="008532BB" w:rsidRDefault="008532BB" w:rsidP="008532BB">
      <w:pPr>
        <w:spacing w:after="0"/>
      </w:pPr>
    </w:p>
    <w:p w14:paraId="6443DB8B" w14:textId="77777777" w:rsidR="008532BB" w:rsidRDefault="008532BB" w:rsidP="008532BB">
      <w:pPr>
        <w:spacing w:after="0"/>
      </w:pPr>
      <w:r>
        <w:t>In contrast to standard household addresses, where initial contact letters or paper questionnaires are posted out, initial contact materials are all hand delivered to CEs by trained communal establishment census officers. Some SPGs have their initial contact materials hand delivered where additional engagement with the group may be necessary or where no permanent address is available post out to, but other SPGs, such as royal households and embassies, receive their initial contact letters through the post. See Appendix A for summary of each of the CE and SPG types and the method of delivery and type of initial contact.</w:t>
      </w:r>
    </w:p>
    <w:p w14:paraId="1A4A5936" w14:textId="77777777" w:rsidR="008532BB" w:rsidRDefault="008532BB" w:rsidP="008532BB">
      <w:pPr>
        <w:spacing w:after="0"/>
        <w:rPr>
          <w:u w:val="single"/>
        </w:rPr>
      </w:pPr>
    </w:p>
    <w:p w14:paraId="314D2DCE" w14:textId="77777777" w:rsidR="008532BB" w:rsidRDefault="008532BB" w:rsidP="008532BB">
      <w:pPr>
        <w:spacing w:after="0"/>
        <w:rPr>
          <w:u w:val="single"/>
        </w:rPr>
      </w:pPr>
      <w:r w:rsidRPr="5EE817B6">
        <w:rPr>
          <w:u w:val="single"/>
        </w:rPr>
        <w:t>Wave of Contact for CEs and SPGs</w:t>
      </w:r>
    </w:p>
    <w:p w14:paraId="78E312B9" w14:textId="554E3270" w:rsidR="008532BB" w:rsidRDefault="008532BB" w:rsidP="008532BB">
      <w:pPr>
        <w:spacing w:after="0"/>
      </w:pPr>
      <w:r>
        <w:t xml:space="preserve">The timeline of interactions with the public known as the ‘wave of contact’ for CEs and SPGs follows as far as possible the household wave of contact (see Appendix B).  All residential addresses, including CEs and SPGs receive an unaddressed postcard to be delivered from 4 weeks before Census Day to raise awareness of the census. Hand delivery of initial contact material starts from 4 weeks before Census Day, with priority delivery to university halls of residence to ensure delivery before the end of term and start of Easter holidays. Communal establishment officers ‘own’ a specific set of SPG and CE addresses and make return visits to follow-up visits after delivery of initial contact material throughout the field operation, which ceases three weeks after Census Day. Residents in communal establishments do not get reminder letters posted out, as this would not be </w:t>
      </w:r>
      <w:r>
        <w:lastRenderedPageBreak/>
        <w:t xml:space="preserve">consistent with the hand-delivery approach, but some SPG addresses do receive a reminder letter in the first week after Census Day if they have not yet responded. </w:t>
      </w:r>
    </w:p>
    <w:p w14:paraId="3A5229B6" w14:textId="77777777" w:rsidR="008532BB" w:rsidRDefault="008532BB" w:rsidP="008532BB">
      <w:pPr>
        <w:spacing w:after="0"/>
        <w:rPr>
          <w:u w:val="single"/>
        </w:rPr>
      </w:pPr>
    </w:p>
    <w:p w14:paraId="7D16F12C" w14:textId="77777777" w:rsidR="008532BB" w:rsidRPr="008C052A" w:rsidRDefault="008532BB" w:rsidP="008532BB">
      <w:pPr>
        <w:spacing w:after="0"/>
        <w:rPr>
          <w:u w:val="single"/>
        </w:rPr>
      </w:pPr>
      <w:r w:rsidRPr="008C052A">
        <w:rPr>
          <w:u w:val="single"/>
        </w:rPr>
        <w:t>Response Rate Targets</w:t>
      </w:r>
    </w:p>
    <w:p w14:paraId="742F1ED1" w14:textId="77777777" w:rsidR="008532BB" w:rsidRDefault="008532BB" w:rsidP="008532BB">
      <w:pPr>
        <w:spacing w:after="0"/>
      </w:pPr>
      <w:r>
        <w:t>Targets for response rates to be achieved by the end of the collection period enable us to drive the operation to maximise response and track progress towards achieving sufficient response to enable production of estimates that meet user needs. Tracking progress towards targets also enables us to direct interventions where needed and ensure that resources are placed where they are needed most. However, for such targets to be useful, they need to be operationally feasible and need to take into account some of the challenges faced by census officers when following non-responding CE residents whilst also balancing the need for sufficient response within each establishment to enable individual records to be imputed without bias. The imputation process only ever adds individual records to a CE, based on the characteristics of those who have responded from within that establishment, and entire CEs are never imputed. To enable imputation, it is vitally important that data are collected from each CE on the number of usual residents, either through completion of the CE1 form by the CE manager, or through completion of a ‘dummy form’ by a CE officer where a CE1 form has not been received. A low response rate from an individual CE would increase the risk of non-response bias and could therefore impact the quality of the imputation and subsequent published estimates. A target has been set to achieve establishment-level information for 100% of CEs via either a CE1 form (preferably), or via a CE dummy form if no CE1 form has been returned.</w:t>
      </w:r>
    </w:p>
    <w:p w14:paraId="4EBE1F40" w14:textId="77777777" w:rsidR="008532BB" w:rsidRDefault="008532BB" w:rsidP="008532BB">
      <w:pPr>
        <w:spacing w:after="0"/>
      </w:pPr>
    </w:p>
    <w:p w14:paraId="6EC1C6AB" w14:textId="77777777" w:rsidR="008532BB" w:rsidRDefault="008532BB" w:rsidP="008532BB">
      <w:pPr>
        <w:spacing w:after="0"/>
      </w:pPr>
      <w:r>
        <w:t xml:space="preserve">To </w:t>
      </w:r>
      <w:proofErr w:type="gramStart"/>
      <w:r>
        <w:t>take into account</w:t>
      </w:r>
      <w:proofErr w:type="gramEnd"/>
      <w:r>
        <w:t xml:space="preserve"> the varying availability of unit-level addresses and administrative data sources as well as differing operational challenges across establishment types, four priority levels and associated targets have been set for CEs and SPGs.</w:t>
      </w:r>
    </w:p>
    <w:p w14:paraId="1AEF87F5" w14:textId="77777777" w:rsidR="008532BB" w:rsidRDefault="008532BB" w:rsidP="008532BB">
      <w:pPr>
        <w:spacing w:after="0"/>
      </w:pPr>
      <w:r w:rsidRPr="00185F8D">
        <w:rPr>
          <w:b/>
          <w:bCs/>
        </w:rPr>
        <w:t>Category 1</w:t>
      </w:r>
      <w:r>
        <w:t xml:space="preserve"> (low priority) addresses include CEs and SPGs where follow-up visits are likely to be less effective, access is likely to be restricted, or where higher quality admin data mean that this groups is a low priority for follow-up. CEs in this group include military bases, prisons and secure establishments. No specific response rate target is set for this group, but one initial visit must be made to successfully deliver initial contact materials and at least one follow-up visit conducted including contact with the CE manager.</w:t>
      </w:r>
    </w:p>
    <w:p w14:paraId="723F82F7" w14:textId="77777777" w:rsidR="008532BB" w:rsidRDefault="008532BB" w:rsidP="008532BB">
      <w:pPr>
        <w:spacing w:after="0"/>
      </w:pPr>
      <w:r w:rsidRPr="00185F8D">
        <w:rPr>
          <w:b/>
          <w:bCs/>
        </w:rPr>
        <w:t>Category 2</w:t>
      </w:r>
      <w:r>
        <w:t xml:space="preserve"> (medium priority) addresses include CEs and SPGs where a high level of response is desirable but where multiple follow-up visits may not be appropriate. These include royal households, embassies, hospitals, hospices, children’s homes and boarding schools. </w:t>
      </w:r>
      <w:proofErr w:type="gramStart"/>
      <w:r>
        <w:t>Similarly</w:t>
      </w:r>
      <w:proofErr w:type="gramEnd"/>
      <w:r>
        <w:t xml:space="preserve"> to category 1, no hard target is set for these CEs or SPGs, but at least two follow-up visits (including contact with the CE manager) must be made after delivery of initial contact material.</w:t>
      </w:r>
    </w:p>
    <w:p w14:paraId="09902A15" w14:textId="77777777" w:rsidR="008532BB" w:rsidRDefault="008532BB" w:rsidP="008532BB">
      <w:pPr>
        <w:spacing w:after="0"/>
      </w:pPr>
      <w:r w:rsidRPr="1254ADC5">
        <w:rPr>
          <w:b/>
          <w:bCs/>
        </w:rPr>
        <w:t>Category 3</w:t>
      </w:r>
      <w:r>
        <w:t xml:space="preserve"> (high priority) addresses include the majority of CEs and is where the majority of resources will be invested to achieve a high level of response. These include student halls of residence, care homes, staff accommodation, hotels, hostels and religious establishments. For these CEs, a minimum of 75% of residents at each establishment must have returned a census questionnaire, with an overall response rate across all CEs in this category of 80%. Follow-up visits must be made continuously throughout the field operational period and should not cease before the end of the field operation period unless all responses from all residents have been received. However, as follow-up activities are contingent on being granted access to the establishment, in those cases where access is refused and the manager refuses to complete a CE1 form, these will be escalated for separate management and will not be included in the response rate calculations for this category. This will avoid resources being diverted from other areas to tackle what could seem like poor overall response in one area, but which is in fact caused by low or no response from a </w:t>
      </w:r>
      <w:r>
        <w:lastRenderedPageBreak/>
        <w:t>single CE for which under these circumstances additional resources would not be helpful and could be detrimental to other areas.</w:t>
      </w:r>
    </w:p>
    <w:p w14:paraId="7AAB0DEA" w14:textId="77777777" w:rsidR="008532BB" w:rsidRDefault="008532BB" w:rsidP="008532BB">
      <w:pPr>
        <w:spacing w:after="0"/>
      </w:pPr>
      <w:r w:rsidRPr="00185F8D">
        <w:rPr>
          <w:b/>
          <w:bCs/>
        </w:rPr>
        <w:t>Category 4</w:t>
      </w:r>
      <w:r>
        <w:t xml:space="preserve"> is used to denote SPGs where a bespoke approach is </w:t>
      </w:r>
      <w:proofErr w:type="gramStart"/>
      <w:r>
        <w:t>required</w:t>
      </w:r>
      <w:proofErr w:type="gramEnd"/>
      <w:r>
        <w:t xml:space="preserve"> and no specific targets are set for either response rates or the number of follow-up visits. These include day and night centres for the homeless and rough sleepers and other transient groups such as continuous cruisers, fairs and circuses and transient Gypsy and Roma travellers.</w:t>
      </w:r>
    </w:p>
    <w:p w14:paraId="0F41C33F" w14:textId="77777777" w:rsidR="008532BB" w:rsidRDefault="008532BB" w:rsidP="008532BB">
      <w:pPr>
        <w:spacing w:after="0"/>
      </w:pPr>
      <w:r>
        <w:t xml:space="preserve">Note that all response rate targets are for valid responses as opposed to any return from an address, which may include blank or incomplete questionnaires. However, for operational purposes, return rates will be used as a proxy for response rates to enable timely tracking of progress towards achieving those targets in during the live operation. </w:t>
      </w:r>
    </w:p>
    <w:p w14:paraId="68EBF777" w14:textId="77777777" w:rsidR="008532BB" w:rsidRDefault="008532BB" w:rsidP="008532BB">
      <w:pPr>
        <w:spacing w:after="0"/>
      </w:pPr>
    </w:p>
    <w:p w14:paraId="1D5081E0" w14:textId="77777777" w:rsidR="008532BB" w:rsidRPr="003C2688" w:rsidRDefault="008532BB" w:rsidP="008532BB">
      <w:pPr>
        <w:spacing w:after="0"/>
        <w:rPr>
          <w:u w:val="single"/>
        </w:rPr>
      </w:pPr>
      <w:r w:rsidRPr="003C2688">
        <w:rPr>
          <w:u w:val="single"/>
        </w:rPr>
        <w:t>CE &amp; SPG Return Profiles</w:t>
      </w:r>
    </w:p>
    <w:p w14:paraId="34933170" w14:textId="77777777" w:rsidR="008532BB" w:rsidRDefault="008532BB" w:rsidP="008532BB">
      <w:pPr>
        <w:spacing w:after="0"/>
      </w:pPr>
      <w:r>
        <w:t>Return profiles have been created to enable the tracking of progress towards targets and to enable identification of any problems early in the operation so that interventions can be put in place to mitigate any shortfalls in expected levels of response.</w:t>
      </w:r>
    </w:p>
    <w:p w14:paraId="0DDC5EF9" w14:textId="77777777" w:rsidR="008532BB" w:rsidRDefault="008532BB" w:rsidP="008532BB">
      <w:pPr>
        <w:spacing w:after="0"/>
      </w:pPr>
      <w:r>
        <w:t xml:space="preserve">The proposed 2021 CE &amp; SPG return profiles are presented in </w:t>
      </w:r>
      <w:r w:rsidRPr="00AB41F0">
        <w:t>A</w:t>
      </w:r>
      <w:r>
        <w:t xml:space="preserve">ppendix C.  The profiles are built from the 2011 CE observed returns but have been created and adjusted to reflect the current CE operational design, in particular the switch to online first for some CE types.  </w:t>
      </w:r>
    </w:p>
    <w:p w14:paraId="5A341C4B" w14:textId="77777777" w:rsidR="008532BB" w:rsidRDefault="008532BB" w:rsidP="008532BB">
      <w:pPr>
        <w:spacing w:after="0"/>
      </w:pPr>
      <w:r>
        <w:t xml:space="preserve"> </w:t>
      </w:r>
    </w:p>
    <w:p w14:paraId="1C2E5F09" w14:textId="77777777" w:rsidR="008532BB" w:rsidRDefault="008532BB" w:rsidP="008532BB">
      <w:pPr>
        <w:spacing w:after="0"/>
      </w:pPr>
      <w:r>
        <w:t xml:space="preserve">Three profiles are given: </w:t>
      </w:r>
    </w:p>
    <w:p w14:paraId="3A00A46D" w14:textId="77777777" w:rsidR="008532BB" w:rsidRDefault="008532BB" w:rsidP="008532BB">
      <w:pPr>
        <w:spacing w:after="0"/>
        <w:ind w:left="567" w:hanging="567"/>
      </w:pPr>
      <w:r>
        <w:t xml:space="preserve"> •</w:t>
      </w:r>
      <w:r>
        <w:tab/>
        <w:t xml:space="preserve">Student return profile – representing university halls of residence.  These CEs will receive invitation letters containing access codes and are expected to be majority online returns. </w:t>
      </w:r>
    </w:p>
    <w:p w14:paraId="45B0C05D" w14:textId="77777777" w:rsidR="008532BB" w:rsidRDefault="008532BB" w:rsidP="008532BB">
      <w:pPr>
        <w:spacing w:after="0"/>
        <w:ind w:left="567" w:hanging="567"/>
      </w:pPr>
      <w:r>
        <w:t>•</w:t>
      </w:r>
      <w:r>
        <w:tab/>
        <w:t xml:space="preserve">Care home return profile – representing care home residents.  Care homes will receive paper questionnaires and are not expected to make online returns </w:t>
      </w:r>
    </w:p>
    <w:p w14:paraId="28D096AA" w14:textId="77777777" w:rsidR="008532BB" w:rsidRDefault="008532BB" w:rsidP="008532BB">
      <w:pPr>
        <w:spacing w:after="0"/>
        <w:ind w:left="567" w:hanging="567"/>
      </w:pPr>
      <w:r>
        <w:t>•</w:t>
      </w:r>
      <w:r>
        <w:tab/>
        <w:t xml:space="preserve">Overall profile for high priority CEs – incorporating returns from all CEs and SPGs in ‘Category 3’ (including halls of residence, care homes, hotels, hostels, staff accommodation, religious establishments, marinas and caravan parks) </w:t>
      </w:r>
    </w:p>
    <w:p w14:paraId="6530BA4B" w14:textId="77777777" w:rsidR="008532BB" w:rsidRDefault="008532BB" w:rsidP="008532BB">
      <w:pPr>
        <w:spacing w:after="0"/>
      </w:pPr>
      <w:r>
        <w:t xml:space="preserve"> </w:t>
      </w:r>
    </w:p>
    <w:p w14:paraId="1967B47A" w14:textId="77777777" w:rsidR="008532BB" w:rsidRDefault="008532BB" w:rsidP="008532BB">
      <w:pPr>
        <w:spacing w:after="0"/>
      </w:pPr>
      <w:r>
        <w:t xml:space="preserve">It is important to understand that the profiles link to the agreed 2021 operational targets for CEs and SPGs, and these effectively present the predicted route towards achieving the minimum acceptable level of returns. However, the collection operation will strive to maximise response as far as possible and will not cease once the targets are met. Students in halls of residence and care home residents together made up approximately 77% of the CE population in 2011. The size of the population in these two groups and their divergent population characteristics make it necessarily to differentiate the profiles for these groups. Response patterns for other individual CE types, however, are likely to be too volatile due to their smaller numbers and dependence on timing of interactions with CE officers to enable us to produce separate profiles with sufficient confidence to be of practical value. </w:t>
      </w:r>
    </w:p>
    <w:p w14:paraId="3A836F02" w14:textId="77777777" w:rsidR="008532BB" w:rsidRDefault="008532BB" w:rsidP="008532BB">
      <w:pPr>
        <w:spacing w:after="0"/>
      </w:pPr>
      <w:r>
        <w:t xml:space="preserve"> </w:t>
      </w:r>
    </w:p>
    <w:p w14:paraId="5F466C87" w14:textId="77777777" w:rsidR="008532BB" w:rsidRDefault="008532BB" w:rsidP="008532BB">
      <w:pPr>
        <w:spacing w:after="0"/>
      </w:pPr>
      <w:r>
        <w:t xml:space="preserve">Making use of the CE &amp; SPG return profiles in the collection operation requires a strategy for monitoring progress against them.  Key to this proposal is having a dedicated analytical function for CEs and SPGs, resourced to monitor and appraise the progress of CE and SPG collection during live operations. This will provide capability to evaluate the operation in the context of the CE operational and statistical design. Monitoring CEs &amp; SPGs during live operations will be done through analysis of MI data by the CE analytical function within the Census Statistical Design team.  This will comprise tasks to identify areas for concern that need to be flagged for further consideration: </w:t>
      </w:r>
    </w:p>
    <w:p w14:paraId="2BBE57DA" w14:textId="77777777" w:rsidR="008532BB" w:rsidRDefault="008532BB" w:rsidP="008532BB">
      <w:pPr>
        <w:spacing w:after="0"/>
      </w:pPr>
      <w:r>
        <w:t xml:space="preserve"> </w:t>
      </w:r>
    </w:p>
    <w:p w14:paraId="403D13BF" w14:textId="77777777" w:rsidR="008532BB" w:rsidRDefault="008532BB" w:rsidP="00727059">
      <w:pPr>
        <w:spacing w:after="0"/>
        <w:ind w:left="567" w:hanging="567"/>
      </w:pPr>
      <w:r>
        <w:lastRenderedPageBreak/>
        <w:t>•</w:t>
      </w:r>
      <w:r>
        <w:tab/>
        <w:t xml:space="preserve">Ranking student CE returns by LA – to highlight LA differences in return rates for students in CEs, picking out areas where returns are lower than expected.  Student CEs have a greater impact to the population base in some LAs. </w:t>
      </w:r>
    </w:p>
    <w:p w14:paraId="022B6028" w14:textId="77777777" w:rsidR="008532BB" w:rsidRDefault="008532BB" w:rsidP="00727059">
      <w:pPr>
        <w:spacing w:after="0"/>
        <w:ind w:left="567" w:hanging="567"/>
      </w:pPr>
      <w:r>
        <w:t>•</w:t>
      </w:r>
      <w:r>
        <w:tab/>
        <w:t xml:space="preserve">Ranking care homes by LA – to highlight LAs with lower return rates. </w:t>
      </w:r>
    </w:p>
    <w:p w14:paraId="551482DF" w14:textId="77777777" w:rsidR="008532BB" w:rsidRDefault="008532BB" w:rsidP="00727059">
      <w:pPr>
        <w:spacing w:after="0"/>
        <w:ind w:left="567" w:hanging="567"/>
      </w:pPr>
      <w:r>
        <w:t>•</w:t>
      </w:r>
      <w:r>
        <w:tab/>
        <w:t xml:space="preserve">All CE and SPG types individually nationally – to provide an overview of the effectiveness of the collection process, again to highlight any issues specific to a type of CE or SPG which may require a change of approach. </w:t>
      </w:r>
    </w:p>
    <w:p w14:paraId="0EED8287" w14:textId="77777777" w:rsidR="008532BB" w:rsidRDefault="008532BB" w:rsidP="00727059">
      <w:pPr>
        <w:spacing w:after="0"/>
        <w:ind w:left="567" w:hanging="567"/>
      </w:pPr>
      <w:r>
        <w:t>•</w:t>
      </w:r>
      <w:r>
        <w:tab/>
        <w:t xml:space="preserve">Category 1 CEs and SPGs1: to monitor the number of visits against expected, and highlight action where needed if visits are insufficient. Reporting return rates for information (no action expected). </w:t>
      </w:r>
    </w:p>
    <w:p w14:paraId="48B53388" w14:textId="77777777" w:rsidR="008532BB" w:rsidRDefault="008532BB" w:rsidP="00727059">
      <w:pPr>
        <w:spacing w:after="0"/>
        <w:ind w:left="567" w:hanging="567"/>
      </w:pPr>
      <w:r>
        <w:t>•</w:t>
      </w:r>
      <w:r>
        <w:tab/>
        <w:t xml:space="preserve">Category 2 CEs and SPGs2: to monitor the number of visits, and action where needed.  Report return rates (no action expected). </w:t>
      </w:r>
    </w:p>
    <w:p w14:paraId="6A86D4FA" w14:textId="77777777" w:rsidR="008532BB" w:rsidRDefault="008532BB" w:rsidP="00727059">
      <w:pPr>
        <w:spacing w:after="0"/>
        <w:ind w:left="567" w:hanging="567"/>
      </w:pPr>
      <w:r>
        <w:t>•</w:t>
      </w:r>
      <w:r>
        <w:tab/>
        <w:t xml:space="preserve">Category 3 CEs and SPGs3: to monitor return rates and action these further where needed. </w:t>
      </w:r>
    </w:p>
    <w:p w14:paraId="51A55C3A" w14:textId="77777777" w:rsidR="008532BB" w:rsidRDefault="008532BB" w:rsidP="00727059">
      <w:pPr>
        <w:spacing w:after="0"/>
        <w:ind w:left="567" w:hanging="567"/>
      </w:pPr>
      <w:r>
        <w:t>•</w:t>
      </w:r>
      <w:r>
        <w:tab/>
        <w:t xml:space="preserve">Category 4 SPGs4: to report return rates, action only by exception. </w:t>
      </w:r>
    </w:p>
    <w:p w14:paraId="4FCFFC01" w14:textId="77777777" w:rsidR="008532BB" w:rsidRDefault="008532BB" w:rsidP="008532BB">
      <w:pPr>
        <w:spacing w:after="0"/>
      </w:pPr>
      <w:r>
        <w:t xml:space="preserve"> </w:t>
      </w:r>
    </w:p>
    <w:p w14:paraId="79039185" w14:textId="77777777" w:rsidR="008532BB" w:rsidRDefault="008532BB" w:rsidP="008532BB">
      <w:pPr>
        <w:spacing w:after="0"/>
      </w:pPr>
      <w:r>
        <w:t xml:space="preserve">Monitoring is proposed to be done on a weekly MI cycle that allows for receipt of paper responses to be reflected.  If further action is deemed necessary based on the monitoring activity, then intervention may be deemed appropriate.  Interventions available to the CE collection are: </w:t>
      </w:r>
    </w:p>
    <w:p w14:paraId="18F28F62" w14:textId="77777777" w:rsidR="008532BB" w:rsidRDefault="008532BB" w:rsidP="008532BB">
      <w:pPr>
        <w:spacing w:after="0"/>
      </w:pPr>
      <w:r>
        <w:t xml:space="preserve"> </w:t>
      </w:r>
    </w:p>
    <w:p w14:paraId="2C736404" w14:textId="77777777" w:rsidR="008532BB" w:rsidRDefault="008532BB" w:rsidP="00727059">
      <w:pPr>
        <w:spacing w:after="0"/>
        <w:ind w:left="567" w:hanging="567"/>
      </w:pPr>
      <w:r>
        <w:t>•</w:t>
      </w:r>
      <w:r>
        <w:tab/>
        <w:t xml:space="preserve">Increase field staff hours – for CE field officers, to tackle specific issues where CE returns don’t match against expected progress, by local area and CE type. </w:t>
      </w:r>
    </w:p>
    <w:p w14:paraId="61D0B6E2" w14:textId="77777777" w:rsidR="008532BB" w:rsidRDefault="008532BB" w:rsidP="00727059">
      <w:pPr>
        <w:spacing w:after="0"/>
        <w:ind w:left="567" w:hanging="567"/>
      </w:pPr>
      <w:r>
        <w:t>•</w:t>
      </w:r>
      <w:r>
        <w:tab/>
        <w:t xml:space="preserve">Performance management – where outcomes are not as expected against CE returns by local area and/or CE type, and comparison with other CE officers. </w:t>
      </w:r>
    </w:p>
    <w:p w14:paraId="1F04D63E" w14:textId="77777777" w:rsidR="008532BB" w:rsidRDefault="008532BB" w:rsidP="00727059">
      <w:pPr>
        <w:spacing w:after="0"/>
        <w:ind w:left="567" w:hanging="567"/>
      </w:pPr>
      <w:r>
        <w:t>•</w:t>
      </w:r>
      <w:r>
        <w:tab/>
        <w:t xml:space="preserve">Additional staff from household – to boost field hours beyond that possible with original CE officers, in reaction to a specific challenge in a local area. </w:t>
      </w:r>
    </w:p>
    <w:p w14:paraId="179BCFB5" w14:textId="77777777" w:rsidR="008532BB" w:rsidRDefault="008532BB" w:rsidP="008532BB">
      <w:pPr>
        <w:spacing w:after="0"/>
      </w:pPr>
      <w:r>
        <w:t xml:space="preserve"> </w:t>
      </w:r>
    </w:p>
    <w:p w14:paraId="4F7C1BA9" w14:textId="77777777" w:rsidR="008532BB" w:rsidRDefault="008532BB" w:rsidP="008532BB">
      <w:pPr>
        <w:spacing w:after="0"/>
      </w:pPr>
      <w:r>
        <w:t>The statistical design for CEs in the collection operation, including the response rate targets and return profiles, and the operational design developed to meet those targets have been developed in line with the 2021 Census quality objectives to ensure that sufficient data of high enough quality are obtained during the collection operation to enable the production of high quality census estimates to meet user needs.</w:t>
      </w:r>
    </w:p>
    <w:p w14:paraId="1CB0BDFC" w14:textId="78E12BBD" w:rsidR="008532BB" w:rsidRDefault="008532BB" w:rsidP="008532BB">
      <w:pPr>
        <w:spacing w:after="0"/>
        <w:rPr>
          <w:rFonts w:cstheme="minorHAnsi"/>
          <w:b/>
          <w:bCs/>
          <w:sz w:val="24"/>
          <w:szCs w:val="24"/>
        </w:rPr>
      </w:pPr>
    </w:p>
    <w:p w14:paraId="7157F42F" w14:textId="77777777" w:rsidR="00727059" w:rsidRDefault="00727059" w:rsidP="008532BB">
      <w:pPr>
        <w:spacing w:after="0"/>
        <w:rPr>
          <w:rFonts w:cstheme="minorHAnsi"/>
          <w:b/>
          <w:bCs/>
          <w:sz w:val="24"/>
          <w:szCs w:val="24"/>
        </w:rPr>
      </w:pPr>
    </w:p>
    <w:p w14:paraId="5A1C9150" w14:textId="77777777" w:rsidR="00727059" w:rsidRDefault="00727059">
      <w:pPr>
        <w:rPr>
          <w:rFonts w:cstheme="minorHAnsi"/>
          <w:b/>
          <w:bCs/>
          <w:sz w:val="24"/>
          <w:szCs w:val="24"/>
        </w:rPr>
      </w:pPr>
      <w:r>
        <w:rPr>
          <w:rFonts w:cstheme="minorHAnsi"/>
          <w:b/>
          <w:bCs/>
          <w:sz w:val="24"/>
          <w:szCs w:val="24"/>
        </w:rPr>
        <w:br w:type="page"/>
      </w:r>
    </w:p>
    <w:p w14:paraId="18CFF7D8" w14:textId="605C9066" w:rsidR="00F60670" w:rsidRPr="00BB7D6C" w:rsidRDefault="00F60670" w:rsidP="00F60670">
      <w:pPr>
        <w:spacing w:after="0"/>
        <w:rPr>
          <w:rFonts w:cstheme="minorHAnsi"/>
          <w:b/>
          <w:bCs/>
          <w:sz w:val="24"/>
          <w:szCs w:val="24"/>
        </w:rPr>
      </w:pPr>
      <w:r w:rsidRPr="00BB7D6C">
        <w:rPr>
          <w:rFonts w:cstheme="minorHAnsi"/>
          <w:b/>
          <w:bCs/>
          <w:sz w:val="24"/>
          <w:szCs w:val="24"/>
        </w:rPr>
        <w:lastRenderedPageBreak/>
        <w:t>Coverage Estimation</w:t>
      </w:r>
    </w:p>
    <w:p w14:paraId="7E0D1BC8" w14:textId="77777777" w:rsidR="006735EB" w:rsidRPr="003A7ACD" w:rsidRDefault="006735EB" w:rsidP="00F60670">
      <w:pPr>
        <w:spacing w:after="0"/>
        <w:rPr>
          <w:rFonts w:cstheme="minorHAnsi"/>
        </w:rPr>
      </w:pPr>
    </w:p>
    <w:p w14:paraId="7DC16B0B" w14:textId="2EFB0317" w:rsidR="00F60670" w:rsidRPr="00D91559" w:rsidRDefault="00F60670" w:rsidP="00F60670">
      <w:pPr>
        <w:spacing w:after="0"/>
        <w:rPr>
          <w:rFonts w:cstheme="minorHAnsi"/>
          <w:u w:val="single"/>
        </w:rPr>
      </w:pPr>
      <w:r w:rsidRPr="00D91559">
        <w:rPr>
          <w:rFonts w:cstheme="minorHAnsi"/>
          <w:u w:val="single"/>
        </w:rPr>
        <w:t>Small CEs</w:t>
      </w:r>
      <w:r w:rsidR="006735EB" w:rsidRPr="00D91559">
        <w:rPr>
          <w:rFonts w:cstheme="minorHAnsi"/>
          <w:u w:val="single"/>
        </w:rPr>
        <w:t xml:space="preserve"> (up to 49 </w:t>
      </w:r>
      <w:proofErr w:type="spellStart"/>
      <w:r w:rsidR="006735EB" w:rsidRPr="00D91559">
        <w:rPr>
          <w:rFonts w:cstheme="minorHAnsi"/>
          <w:u w:val="single"/>
        </w:rPr>
        <w:t>bedspaces</w:t>
      </w:r>
      <w:proofErr w:type="spellEnd"/>
      <w:r w:rsidR="00AA110F">
        <w:rPr>
          <w:rFonts w:cstheme="minorHAnsi"/>
          <w:u w:val="single"/>
        </w:rPr>
        <w:t xml:space="preserve"> in 2021</w:t>
      </w:r>
      <w:r w:rsidR="006735EB" w:rsidRPr="00D91559">
        <w:rPr>
          <w:rFonts w:cstheme="minorHAnsi"/>
          <w:u w:val="single"/>
        </w:rPr>
        <w:t>)</w:t>
      </w:r>
    </w:p>
    <w:p w14:paraId="5C76DC64" w14:textId="4817151B" w:rsidR="00F60670" w:rsidRDefault="003A7ACD" w:rsidP="00F60670">
      <w:pPr>
        <w:spacing w:after="0"/>
        <w:rPr>
          <w:rFonts w:cstheme="minorHAnsi"/>
        </w:rPr>
      </w:pPr>
      <w:r w:rsidRPr="003A7ACD">
        <w:rPr>
          <w:rFonts w:cstheme="minorHAnsi"/>
        </w:rPr>
        <w:t>I</w:t>
      </w:r>
      <w:r w:rsidR="00F60670" w:rsidRPr="003A7ACD">
        <w:rPr>
          <w:rFonts w:cstheme="minorHAnsi"/>
        </w:rPr>
        <w:t xml:space="preserve">n 2011 these were processed region by region, but even </w:t>
      </w:r>
      <w:r w:rsidR="006735EB">
        <w:rPr>
          <w:rFonts w:cstheme="minorHAnsi"/>
        </w:rPr>
        <w:t>so,</w:t>
      </w:r>
      <w:r w:rsidR="00F60670" w:rsidRPr="003A7ACD">
        <w:rPr>
          <w:rFonts w:cstheme="minorHAnsi"/>
        </w:rPr>
        <w:t xml:space="preserve"> we had to collapse categories</w:t>
      </w:r>
      <w:r w:rsidR="006735EB">
        <w:rPr>
          <w:rFonts w:cstheme="minorHAnsi"/>
        </w:rPr>
        <w:t xml:space="preserve"> (age, sex and often type of CE)</w:t>
      </w:r>
      <w:r w:rsidR="00F60670" w:rsidRPr="003A7ACD">
        <w:rPr>
          <w:rFonts w:cstheme="minorHAnsi"/>
        </w:rPr>
        <w:t xml:space="preserve"> to get </w:t>
      </w:r>
      <w:r w:rsidR="00033F8D" w:rsidRPr="003A7ACD">
        <w:rPr>
          <w:rFonts w:cstheme="minorHAnsi"/>
        </w:rPr>
        <w:t>enough</w:t>
      </w:r>
      <w:r w:rsidR="00F60670" w:rsidRPr="003A7ACD">
        <w:rPr>
          <w:rFonts w:cstheme="minorHAnsi"/>
        </w:rPr>
        <w:t xml:space="preserve"> sample</w:t>
      </w:r>
      <w:r w:rsidR="006735EB">
        <w:rPr>
          <w:rFonts w:cstheme="minorHAnsi"/>
        </w:rPr>
        <w:t xml:space="preserve"> for the dual-system estimation </w:t>
      </w:r>
      <w:r w:rsidR="00D91559">
        <w:rPr>
          <w:rFonts w:cstheme="minorHAnsi"/>
        </w:rPr>
        <w:t>process to be robust enough</w:t>
      </w:r>
      <w:r w:rsidR="00F60670" w:rsidRPr="003A7ACD">
        <w:rPr>
          <w:rFonts w:cstheme="minorHAnsi"/>
        </w:rPr>
        <w:t>. For 2021</w:t>
      </w:r>
      <w:r w:rsidR="00D91559">
        <w:rPr>
          <w:rFonts w:cstheme="minorHAnsi"/>
        </w:rPr>
        <w:t>, we are</w:t>
      </w:r>
      <w:r w:rsidR="00F60670" w:rsidRPr="003A7ACD">
        <w:rPr>
          <w:rFonts w:cstheme="minorHAnsi"/>
        </w:rPr>
        <w:t xml:space="preserve"> investigating </w:t>
      </w:r>
      <w:r w:rsidR="00D91559">
        <w:rPr>
          <w:rFonts w:cstheme="minorHAnsi"/>
        </w:rPr>
        <w:t xml:space="preserve">using the </w:t>
      </w:r>
      <w:r w:rsidR="00F60670" w:rsidRPr="003A7ACD">
        <w:rPr>
          <w:rFonts w:cstheme="minorHAnsi"/>
        </w:rPr>
        <w:t xml:space="preserve">modelling approach being used for </w:t>
      </w:r>
      <w:r w:rsidR="00D91559">
        <w:rPr>
          <w:rFonts w:cstheme="minorHAnsi"/>
        </w:rPr>
        <w:t>household</w:t>
      </w:r>
      <w:r w:rsidR="00F60670" w:rsidRPr="003A7ACD">
        <w:rPr>
          <w:rFonts w:cstheme="minorHAnsi"/>
        </w:rPr>
        <w:t xml:space="preserve"> estimation.</w:t>
      </w:r>
    </w:p>
    <w:p w14:paraId="38918D64" w14:textId="4953B51F" w:rsidR="00772E8D" w:rsidRPr="00772E8D" w:rsidRDefault="00772E8D" w:rsidP="00F60670">
      <w:pPr>
        <w:spacing w:after="0"/>
        <w:rPr>
          <w:rFonts w:cstheme="minorHAnsi"/>
          <w:bCs/>
        </w:rPr>
      </w:pPr>
      <w:r>
        <w:rPr>
          <w:rFonts w:cstheme="minorHAnsi"/>
        </w:rPr>
        <w:t>For information, A</w:t>
      </w:r>
      <w:r w:rsidR="00727059">
        <w:rPr>
          <w:rFonts w:cstheme="minorHAnsi"/>
        </w:rPr>
        <w:t>ppendix</w:t>
      </w:r>
      <w:r>
        <w:rPr>
          <w:rFonts w:cstheme="minorHAnsi"/>
        </w:rPr>
        <w:t xml:space="preserve"> </w:t>
      </w:r>
      <w:r w:rsidR="00727059">
        <w:rPr>
          <w:rFonts w:cstheme="minorHAnsi"/>
        </w:rPr>
        <w:t>D</w:t>
      </w:r>
      <w:r>
        <w:rPr>
          <w:rFonts w:cstheme="minorHAnsi"/>
        </w:rPr>
        <w:t xml:space="preserve"> Table </w:t>
      </w:r>
      <w:r w:rsidR="00727059">
        <w:rPr>
          <w:rFonts w:cstheme="minorHAnsi"/>
        </w:rPr>
        <w:t>D</w:t>
      </w:r>
      <w:r>
        <w:rPr>
          <w:rFonts w:cstheme="minorHAnsi"/>
        </w:rPr>
        <w:t xml:space="preserve">2 contains the </w:t>
      </w:r>
      <w:r w:rsidRPr="00772E8D">
        <w:rPr>
          <w:bCs/>
        </w:rPr>
        <w:t>counts, estimates and adjustment of usual resident in small CEs, with response rates, by establishment type</w:t>
      </w:r>
      <w:r>
        <w:rPr>
          <w:bCs/>
        </w:rPr>
        <w:t xml:space="preserve">, extracted from </w:t>
      </w:r>
      <w:proofErr w:type="gramStart"/>
      <w:r>
        <w:rPr>
          <w:bCs/>
        </w:rPr>
        <w:t>ONS(</w:t>
      </w:r>
      <w:proofErr w:type="gramEnd"/>
      <w:r>
        <w:rPr>
          <w:bCs/>
        </w:rPr>
        <w:t>2012).</w:t>
      </w:r>
    </w:p>
    <w:p w14:paraId="5A04DDA1" w14:textId="07B749ED" w:rsidR="00FF48B2" w:rsidRPr="003A7ACD" w:rsidRDefault="00FF48B2" w:rsidP="00F60670">
      <w:pPr>
        <w:spacing w:after="0"/>
        <w:rPr>
          <w:rFonts w:cstheme="minorHAnsi"/>
        </w:rPr>
      </w:pPr>
    </w:p>
    <w:p w14:paraId="1D9BB3CF" w14:textId="157C42D3" w:rsidR="00FF48B2" w:rsidRPr="003A7ACD" w:rsidRDefault="00FF48B2" w:rsidP="00F60670">
      <w:pPr>
        <w:spacing w:after="0"/>
        <w:rPr>
          <w:rFonts w:cstheme="minorHAnsi"/>
        </w:rPr>
      </w:pPr>
      <w:r w:rsidRPr="003A7ACD">
        <w:rPr>
          <w:rFonts w:cstheme="minorHAnsi"/>
        </w:rPr>
        <w:t>Notes from Oct 19 panel session on CEs:</w:t>
      </w:r>
    </w:p>
    <w:p w14:paraId="39D2BE16" w14:textId="6599E84D" w:rsidR="00FF48B2" w:rsidRPr="003A7ACD" w:rsidRDefault="00FF48B2" w:rsidP="00F60670">
      <w:pPr>
        <w:spacing w:after="0"/>
        <w:rPr>
          <w:rFonts w:cstheme="minorHAnsi"/>
          <w:i/>
          <w:iCs/>
        </w:rPr>
      </w:pPr>
      <w:r w:rsidRPr="003A7ACD">
        <w:rPr>
          <w:rFonts w:cstheme="minorHAnsi"/>
          <w:i/>
          <w:iCs/>
        </w:rPr>
        <w:t>Small CE geographic distribution was discussed, leading to the panel recommending ONS consider how the non-uniform nature of this impacts outcomes when using the current CCS sampling methodology</w:t>
      </w:r>
    </w:p>
    <w:p w14:paraId="02011F61" w14:textId="5B1C4D1A" w:rsidR="00F60670" w:rsidRPr="003A7ACD" w:rsidRDefault="00F60670" w:rsidP="00F60670">
      <w:pPr>
        <w:spacing w:after="0"/>
        <w:rPr>
          <w:rFonts w:cstheme="minorHAnsi"/>
        </w:rPr>
      </w:pPr>
    </w:p>
    <w:p w14:paraId="67C6BDFA" w14:textId="2154C8DE" w:rsidR="00FF48B2" w:rsidRPr="003A7ACD" w:rsidRDefault="00FF48B2" w:rsidP="003A7ACD">
      <w:pPr>
        <w:spacing w:after="0"/>
        <w:rPr>
          <w:rFonts w:cstheme="minorHAnsi"/>
        </w:rPr>
      </w:pPr>
      <w:r w:rsidRPr="003A7ACD">
        <w:rPr>
          <w:rFonts w:cstheme="minorHAnsi"/>
        </w:rPr>
        <w:t xml:space="preserve">This is one of the things the modelling should help with. </w:t>
      </w:r>
      <w:r w:rsidR="00D91559">
        <w:rPr>
          <w:rFonts w:cstheme="minorHAnsi"/>
        </w:rPr>
        <w:t>W</w:t>
      </w:r>
      <w:r w:rsidRPr="003A7ACD">
        <w:rPr>
          <w:rFonts w:cstheme="minorHAnsi"/>
        </w:rPr>
        <w:t>e’re not doing a specific sample for CEs</w:t>
      </w:r>
      <w:r w:rsidR="00D91559">
        <w:rPr>
          <w:rFonts w:cstheme="minorHAnsi"/>
        </w:rPr>
        <w:t xml:space="preserve"> – it is too problematic as</w:t>
      </w:r>
      <w:r w:rsidRPr="003A7ACD">
        <w:rPr>
          <w:rFonts w:cstheme="minorHAnsi"/>
        </w:rPr>
        <w:t xml:space="preserve"> they </w:t>
      </w:r>
      <w:r w:rsidR="006D4405" w:rsidRPr="003A7ACD">
        <w:rPr>
          <w:rFonts w:cstheme="minorHAnsi"/>
        </w:rPr>
        <w:t>tend to be geog</w:t>
      </w:r>
      <w:r w:rsidR="006735EB">
        <w:rPr>
          <w:rFonts w:cstheme="minorHAnsi"/>
        </w:rPr>
        <w:t>raphically</w:t>
      </w:r>
      <w:r w:rsidR="006D4405" w:rsidRPr="003A7ACD">
        <w:rPr>
          <w:rFonts w:cstheme="minorHAnsi"/>
        </w:rPr>
        <w:t xml:space="preserve"> clustered</w:t>
      </w:r>
    </w:p>
    <w:p w14:paraId="2F4792E2" w14:textId="67DAAC6F" w:rsidR="00FF48B2" w:rsidRPr="003A7ACD" w:rsidRDefault="00FF48B2" w:rsidP="00F60670">
      <w:pPr>
        <w:spacing w:after="0"/>
        <w:rPr>
          <w:rFonts w:cstheme="minorHAnsi"/>
        </w:rPr>
      </w:pPr>
    </w:p>
    <w:p w14:paraId="4B161157" w14:textId="77777777" w:rsidR="00FF48B2" w:rsidRPr="003A7ACD" w:rsidRDefault="00FF48B2" w:rsidP="00F60670">
      <w:pPr>
        <w:spacing w:after="0"/>
        <w:rPr>
          <w:rFonts w:cstheme="minorHAnsi"/>
        </w:rPr>
      </w:pPr>
    </w:p>
    <w:p w14:paraId="16CEF979" w14:textId="70FBB247" w:rsidR="00F60670" w:rsidRPr="00D91559" w:rsidRDefault="00F60670" w:rsidP="00F60670">
      <w:pPr>
        <w:spacing w:after="0"/>
        <w:rPr>
          <w:rFonts w:cstheme="minorHAnsi"/>
          <w:u w:val="single"/>
        </w:rPr>
      </w:pPr>
      <w:r w:rsidRPr="00D91559">
        <w:rPr>
          <w:rFonts w:cstheme="minorHAnsi"/>
          <w:u w:val="single"/>
        </w:rPr>
        <w:t>Large CEs</w:t>
      </w:r>
      <w:r w:rsidR="006735EB" w:rsidRPr="00D91559">
        <w:rPr>
          <w:rFonts w:cstheme="minorHAnsi"/>
          <w:u w:val="single"/>
        </w:rPr>
        <w:t xml:space="preserve"> (50+ </w:t>
      </w:r>
      <w:proofErr w:type="spellStart"/>
      <w:r w:rsidR="006735EB" w:rsidRPr="00D91559">
        <w:rPr>
          <w:rFonts w:cstheme="minorHAnsi"/>
          <w:u w:val="single"/>
        </w:rPr>
        <w:t>bedspaces</w:t>
      </w:r>
      <w:proofErr w:type="spellEnd"/>
      <w:r w:rsidR="006735EB" w:rsidRPr="00D91559">
        <w:rPr>
          <w:rFonts w:cstheme="minorHAnsi"/>
          <w:u w:val="single"/>
        </w:rPr>
        <w:t>)</w:t>
      </w:r>
    </w:p>
    <w:p w14:paraId="313C6932" w14:textId="77777777" w:rsidR="006C5C67" w:rsidRDefault="006C5C67" w:rsidP="00F60670">
      <w:pPr>
        <w:spacing w:after="0"/>
        <w:rPr>
          <w:rFonts w:cstheme="minorHAnsi"/>
        </w:rPr>
      </w:pPr>
    </w:p>
    <w:p w14:paraId="0F51E297" w14:textId="02F25AEF" w:rsidR="006C5C67" w:rsidRPr="003D3659" w:rsidRDefault="006C5C67" w:rsidP="00F60670">
      <w:pPr>
        <w:spacing w:after="0"/>
        <w:rPr>
          <w:rFonts w:cstheme="minorHAnsi"/>
          <w:b/>
          <w:bCs/>
          <w:i/>
          <w:iCs/>
        </w:rPr>
      </w:pPr>
      <w:r w:rsidRPr="003D3659">
        <w:rPr>
          <w:rFonts w:cstheme="minorHAnsi"/>
          <w:b/>
          <w:bCs/>
          <w:i/>
          <w:iCs/>
        </w:rPr>
        <w:t>Capacity threshold</w:t>
      </w:r>
    </w:p>
    <w:p w14:paraId="115C8860" w14:textId="6EB24538" w:rsidR="00F60670" w:rsidRDefault="00F60670" w:rsidP="00F60670">
      <w:pPr>
        <w:spacing w:after="0"/>
        <w:rPr>
          <w:rFonts w:cstheme="minorHAnsi"/>
        </w:rPr>
      </w:pPr>
      <w:r w:rsidRPr="003A7ACD">
        <w:rPr>
          <w:rFonts w:cstheme="minorHAnsi"/>
        </w:rPr>
        <w:t xml:space="preserve">In 2011 </w:t>
      </w:r>
      <w:r w:rsidR="0003017D">
        <w:rPr>
          <w:rFonts w:cstheme="minorHAnsi"/>
        </w:rPr>
        <w:t>the Large CE est</w:t>
      </w:r>
      <w:r w:rsidR="00703B58">
        <w:rPr>
          <w:rFonts w:cstheme="minorHAnsi"/>
        </w:rPr>
        <w:t>ima</w:t>
      </w:r>
      <w:r w:rsidR="0003017D">
        <w:rPr>
          <w:rFonts w:cstheme="minorHAnsi"/>
        </w:rPr>
        <w:t>tes were</w:t>
      </w:r>
      <w:r w:rsidRPr="003A7ACD">
        <w:rPr>
          <w:rFonts w:cstheme="minorHAnsi"/>
        </w:rPr>
        <w:t xml:space="preserve"> for 100+ bed</w:t>
      </w:r>
      <w:r w:rsidR="00AA110F">
        <w:rPr>
          <w:rFonts w:cstheme="minorHAnsi"/>
        </w:rPr>
        <w:t xml:space="preserve"> </w:t>
      </w:r>
      <w:r w:rsidRPr="003A7ACD">
        <w:rPr>
          <w:rFonts w:cstheme="minorHAnsi"/>
        </w:rPr>
        <w:t>space</w:t>
      </w:r>
      <w:r w:rsidR="00703B58">
        <w:rPr>
          <w:rFonts w:cstheme="minorHAnsi"/>
        </w:rPr>
        <w:t xml:space="preserve"> establishments</w:t>
      </w:r>
      <w:r w:rsidRPr="003A7ACD">
        <w:rPr>
          <w:rFonts w:cstheme="minorHAnsi"/>
        </w:rPr>
        <w:t xml:space="preserve">. </w:t>
      </w:r>
      <w:r w:rsidR="0003017D">
        <w:rPr>
          <w:rFonts w:cstheme="minorHAnsi"/>
        </w:rPr>
        <w:t>We have n</w:t>
      </w:r>
      <w:r w:rsidRPr="003A7ACD">
        <w:rPr>
          <w:rFonts w:cstheme="minorHAnsi"/>
        </w:rPr>
        <w:t>ow</w:t>
      </w:r>
      <w:r w:rsidR="0003017D">
        <w:rPr>
          <w:rFonts w:cstheme="minorHAnsi"/>
        </w:rPr>
        <w:t xml:space="preserve"> lowered this threshold to</w:t>
      </w:r>
      <w:r w:rsidRPr="003A7ACD">
        <w:rPr>
          <w:rFonts w:cstheme="minorHAnsi"/>
        </w:rPr>
        <w:t xml:space="preserve"> 50+</w:t>
      </w:r>
      <w:r w:rsidR="0003017D">
        <w:rPr>
          <w:rFonts w:cstheme="minorHAnsi"/>
        </w:rPr>
        <w:t>, because</w:t>
      </w:r>
      <w:r w:rsidR="006735EB">
        <w:rPr>
          <w:rFonts w:cstheme="minorHAnsi"/>
        </w:rPr>
        <w:t>:</w:t>
      </w:r>
    </w:p>
    <w:p w14:paraId="6E1B5A8A" w14:textId="071D65E4" w:rsidR="006735EB" w:rsidRDefault="006735EB" w:rsidP="006735EB">
      <w:pPr>
        <w:pStyle w:val="ListParagraph"/>
        <w:numPr>
          <w:ilvl w:val="0"/>
          <w:numId w:val="8"/>
        </w:numPr>
        <w:spacing w:after="0"/>
        <w:rPr>
          <w:rFonts w:cstheme="minorHAnsi"/>
        </w:rPr>
      </w:pPr>
      <w:r>
        <w:rPr>
          <w:rFonts w:cstheme="minorHAnsi"/>
        </w:rPr>
        <w:t>The CCS is too difficult to administer (face to face interviews) for 50+ residents</w:t>
      </w:r>
    </w:p>
    <w:p w14:paraId="0DDA983A" w14:textId="48167A91" w:rsidR="006735EB" w:rsidRDefault="006735EB" w:rsidP="006735EB">
      <w:pPr>
        <w:pStyle w:val="ListParagraph"/>
        <w:numPr>
          <w:ilvl w:val="0"/>
          <w:numId w:val="8"/>
        </w:numPr>
        <w:spacing w:after="0"/>
        <w:rPr>
          <w:rFonts w:cstheme="minorHAnsi"/>
        </w:rPr>
      </w:pPr>
      <w:r>
        <w:rPr>
          <w:rFonts w:cstheme="minorHAnsi"/>
        </w:rPr>
        <w:t>The number of CEs in the 50-99 bed</w:t>
      </w:r>
      <w:r w:rsidR="00AA110F">
        <w:rPr>
          <w:rFonts w:cstheme="minorHAnsi"/>
        </w:rPr>
        <w:t xml:space="preserve"> </w:t>
      </w:r>
      <w:r>
        <w:rPr>
          <w:rFonts w:cstheme="minorHAnsi"/>
        </w:rPr>
        <w:t>space group, that may also be in the sample, is not large enough to warrant the additional field effort</w:t>
      </w:r>
    </w:p>
    <w:p w14:paraId="209C5C41" w14:textId="5026AA36" w:rsidR="0003017D" w:rsidRDefault="0003017D" w:rsidP="006735EB">
      <w:pPr>
        <w:pStyle w:val="ListParagraph"/>
        <w:numPr>
          <w:ilvl w:val="0"/>
          <w:numId w:val="8"/>
        </w:numPr>
        <w:spacing w:after="0"/>
        <w:rPr>
          <w:rFonts w:cstheme="minorHAnsi"/>
        </w:rPr>
      </w:pPr>
      <w:r>
        <w:rPr>
          <w:rFonts w:cstheme="minorHAnsi"/>
        </w:rPr>
        <w:t>Applying the weights to all 50-99 bed</w:t>
      </w:r>
      <w:r w:rsidR="00AA110F">
        <w:rPr>
          <w:rFonts w:cstheme="minorHAnsi"/>
        </w:rPr>
        <w:t xml:space="preserve"> </w:t>
      </w:r>
      <w:r>
        <w:rPr>
          <w:rFonts w:cstheme="minorHAnsi"/>
        </w:rPr>
        <w:t>space CEs from calculations mostly done on 1-49 bed</w:t>
      </w:r>
      <w:r w:rsidR="00AA110F">
        <w:rPr>
          <w:rFonts w:cstheme="minorHAnsi"/>
        </w:rPr>
        <w:t xml:space="preserve"> </w:t>
      </w:r>
      <w:r>
        <w:rPr>
          <w:rFonts w:cstheme="minorHAnsi"/>
        </w:rPr>
        <w:t>space CEs isn’t as robust as for the smaller CEs</w:t>
      </w:r>
    </w:p>
    <w:p w14:paraId="13922D30" w14:textId="7C0BAB5A" w:rsidR="006735EB" w:rsidRDefault="006735EB" w:rsidP="006735EB">
      <w:pPr>
        <w:pStyle w:val="ListParagraph"/>
        <w:numPr>
          <w:ilvl w:val="0"/>
          <w:numId w:val="8"/>
        </w:numPr>
        <w:spacing w:after="0"/>
        <w:rPr>
          <w:rFonts w:cstheme="minorHAnsi"/>
        </w:rPr>
      </w:pPr>
      <w:r>
        <w:rPr>
          <w:rFonts w:cstheme="minorHAnsi"/>
        </w:rPr>
        <w:t>The benefit gained from these additional CEs in the Estimation calculations is not enough to warrant the additional field effort, and</w:t>
      </w:r>
    </w:p>
    <w:p w14:paraId="66B99AFF" w14:textId="1DA581D4" w:rsidR="006735EB" w:rsidRDefault="006735EB" w:rsidP="006735EB">
      <w:pPr>
        <w:pStyle w:val="ListParagraph"/>
        <w:numPr>
          <w:ilvl w:val="0"/>
          <w:numId w:val="8"/>
        </w:numPr>
        <w:spacing w:after="0"/>
        <w:rPr>
          <w:rFonts w:cstheme="minorHAnsi"/>
        </w:rPr>
      </w:pPr>
      <w:r>
        <w:rPr>
          <w:rFonts w:cstheme="minorHAnsi"/>
        </w:rPr>
        <w:t>We anticipate having more admin data on these establishments anyway, to help with the estimation of undercount.</w:t>
      </w:r>
    </w:p>
    <w:p w14:paraId="717255A3" w14:textId="765CB8B3" w:rsidR="0003017D" w:rsidRPr="0003017D" w:rsidRDefault="00703B58" w:rsidP="0003017D">
      <w:pPr>
        <w:spacing w:after="0"/>
        <w:rPr>
          <w:rFonts w:cstheme="minorHAnsi"/>
        </w:rPr>
      </w:pPr>
      <w:r>
        <w:rPr>
          <w:rFonts w:cstheme="minorHAnsi"/>
        </w:rPr>
        <w:t>The threshold itself is to a certain extent arbitrary, and bed</w:t>
      </w:r>
      <w:r w:rsidR="00AA110F">
        <w:rPr>
          <w:rFonts w:cstheme="minorHAnsi"/>
        </w:rPr>
        <w:t xml:space="preserve"> </w:t>
      </w:r>
      <w:r>
        <w:rPr>
          <w:rFonts w:cstheme="minorHAnsi"/>
        </w:rPr>
        <w:t xml:space="preserve">spaces only predict number of residents, </w:t>
      </w:r>
      <w:r w:rsidR="001108D5">
        <w:rPr>
          <w:rFonts w:cstheme="minorHAnsi"/>
        </w:rPr>
        <w:t>but</w:t>
      </w:r>
      <w:r>
        <w:rPr>
          <w:rFonts w:cstheme="minorHAnsi"/>
        </w:rPr>
        <w:t xml:space="preserve"> Field needed a round number to work with in the operation.</w:t>
      </w:r>
    </w:p>
    <w:p w14:paraId="509750C7" w14:textId="3958040E" w:rsidR="0003017D" w:rsidRDefault="0003017D" w:rsidP="0003017D">
      <w:pPr>
        <w:spacing w:after="0"/>
        <w:rPr>
          <w:rFonts w:cstheme="minorHAnsi"/>
        </w:rPr>
      </w:pPr>
    </w:p>
    <w:p w14:paraId="00A05E2A" w14:textId="62CA1062" w:rsidR="007473D7" w:rsidRPr="0003017D" w:rsidRDefault="007473D7" w:rsidP="0003017D">
      <w:pPr>
        <w:spacing w:after="0"/>
        <w:rPr>
          <w:rFonts w:cstheme="minorHAnsi"/>
        </w:rPr>
      </w:pPr>
      <w:r>
        <w:rPr>
          <w:rFonts w:cstheme="minorHAnsi"/>
        </w:rPr>
        <w:t>Expected number of 50+ bed</w:t>
      </w:r>
      <w:r w:rsidR="00AA110F">
        <w:rPr>
          <w:rFonts w:cstheme="minorHAnsi"/>
        </w:rPr>
        <w:t xml:space="preserve"> </w:t>
      </w:r>
      <w:r>
        <w:rPr>
          <w:rFonts w:cstheme="minorHAnsi"/>
        </w:rPr>
        <w:t>space CEs</w:t>
      </w:r>
      <w:r w:rsidR="00AA110F">
        <w:rPr>
          <w:rFonts w:cstheme="minorHAnsi"/>
        </w:rPr>
        <w:t xml:space="preserve"> (See Table 2 below)</w:t>
      </w:r>
    </w:p>
    <w:p w14:paraId="61886547" w14:textId="09A6C916" w:rsidR="008347AD" w:rsidRDefault="008347AD" w:rsidP="008347AD">
      <w:pPr>
        <w:pStyle w:val="null"/>
        <w:numPr>
          <w:ilvl w:val="0"/>
          <w:numId w:val="8"/>
        </w:numPr>
        <w:spacing w:before="0" w:beforeAutospacing="0" w:after="0" w:afterAutospacing="0"/>
      </w:pPr>
      <w:r>
        <w:t>In 2011, there were 2,157 100+ bed</w:t>
      </w:r>
      <w:r w:rsidR="00AA110F">
        <w:t xml:space="preserve"> </w:t>
      </w:r>
      <w:r>
        <w:t xml:space="preserve">space CEs, 917 of which were flagged for checks – </w:t>
      </w:r>
      <w:r w:rsidR="00AA3A32">
        <w:t>728</w:t>
      </w:r>
      <w:r>
        <w:t xml:space="preserve"> we made a change for</w:t>
      </w:r>
    </w:p>
    <w:p w14:paraId="539AB7E9" w14:textId="5E7D1314" w:rsidR="0003017D" w:rsidRDefault="0003017D" w:rsidP="008347AD">
      <w:pPr>
        <w:pStyle w:val="null"/>
        <w:numPr>
          <w:ilvl w:val="0"/>
          <w:numId w:val="8"/>
        </w:numPr>
        <w:spacing w:before="0" w:beforeAutospacing="0" w:after="0" w:afterAutospacing="0"/>
      </w:pPr>
      <w:r>
        <w:t xml:space="preserve">There were an additional </w:t>
      </w:r>
      <w:r w:rsidR="00AA3A32">
        <w:t>2,300</w:t>
      </w:r>
      <w:r>
        <w:t xml:space="preserve"> 50-99 bed</w:t>
      </w:r>
      <w:r w:rsidR="00AA110F">
        <w:t xml:space="preserve"> </w:t>
      </w:r>
      <w:r>
        <w:t>space CEs, which would now be in scope of this assessment</w:t>
      </w:r>
    </w:p>
    <w:p w14:paraId="4675FB76" w14:textId="7F51C80B" w:rsidR="004D7CB3" w:rsidRDefault="001108D5" w:rsidP="004D7CB3">
      <w:pPr>
        <w:pStyle w:val="null"/>
        <w:numPr>
          <w:ilvl w:val="0"/>
          <w:numId w:val="8"/>
        </w:numPr>
        <w:spacing w:before="0" w:beforeAutospacing="0" w:after="0" w:afterAutospacing="0"/>
      </w:pPr>
      <w:r>
        <w:t>Currently estimating that approximately 4,600 care homes and halls of residence have 50+ bed</w:t>
      </w:r>
      <w:r w:rsidR="00AA110F">
        <w:t xml:space="preserve"> </w:t>
      </w:r>
      <w:r>
        <w:t>space capacity (up from 3,000 in 2011)</w:t>
      </w:r>
      <w:r w:rsidR="004D7CB3">
        <w:t xml:space="preserve"> – these are the main groups of large CEs</w:t>
      </w:r>
    </w:p>
    <w:p w14:paraId="078E8A7B" w14:textId="03A21F14" w:rsidR="00772E8D" w:rsidRDefault="00772E8D" w:rsidP="004D7CB3">
      <w:pPr>
        <w:pStyle w:val="null"/>
        <w:numPr>
          <w:ilvl w:val="0"/>
          <w:numId w:val="8"/>
        </w:numPr>
        <w:spacing w:before="0" w:beforeAutospacing="0" w:after="0" w:afterAutospacing="0"/>
      </w:pPr>
      <w:r>
        <w:t>Estimates of the capacity of other types is still in progress</w:t>
      </w:r>
    </w:p>
    <w:p w14:paraId="4786022A" w14:textId="7D8EEE18" w:rsidR="008347AD" w:rsidRDefault="008347AD" w:rsidP="00772E8D">
      <w:pPr>
        <w:pStyle w:val="null"/>
        <w:spacing w:before="0" w:beforeAutospacing="0" w:after="0" w:afterAutospacing="0"/>
        <w:rPr>
          <w:rFonts w:cstheme="minorHAnsi"/>
        </w:rPr>
      </w:pPr>
      <w:r>
        <w:t> </w:t>
      </w:r>
    </w:p>
    <w:p w14:paraId="628F91CE" w14:textId="77777777" w:rsidR="00772E8D" w:rsidRDefault="00772E8D" w:rsidP="00F60670">
      <w:pPr>
        <w:spacing w:after="0"/>
        <w:rPr>
          <w:rFonts w:cstheme="minorHAnsi"/>
        </w:rPr>
      </w:pPr>
    </w:p>
    <w:p w14:paraId="56C08B19" w14:textId="6D34CA23" w:rsidR="004C6905" w:rsidRPr="00AA110F" w:rsidRDefault="004C6905" w:rsidP="00F60670">
      <w:pPr>
        <w:spacing w:after="0"/>
        <w:rPr>
          <w:rFonts w:cstheme="minorHAnsi"/>
          <w:b/>
          <w:bCs/>
        </w:rPr>
      </w:pPr>
      <w:r w:rsidRPr="00AA110F">
        <w:rPr>
          <w:rFonts w:cstheme="minorHAnsi"/>
          <w:b/>
          <w:bCs/>
        </w:rPr>
        <w:lastRenderedPageBreak/>
        <w:t>Table 2: Number of CEs by bed</w:t>
      </w:r>
      <w:r w:rsidR="006C5C67" w:rsidRPr="00AA110F">
        <w:rPr>
          <w:rFonts w:cstheme="minorHAnsi"/>
          <w:b/>
          <w:bCs/>
        </w:rPr>
        <w:t xml:space="preserve"> </w:t>
      </w:r>
      <w:r w:rsidRPr="00AA110F">
        <w:rPr>
          <w:rFonts w:cstheme="minorHAnsi"/>
          <w:b/>
          <w:bCs/>
        </w:rPr>
        <w:t>spaces, 2011 Census</w:t>
      </w:r>
      <w:r w:rsidR="002B1876" w:rsidRPr="00AA110F">
        <w:rPr>
          <w:rStyle w:val="FootnoteReference"/>
          <w:rFonts w:cstheme="minorHAnsi"/>
          <w:b/>
          <w:bCs/>
        </w:rPr>
        <w:footnoteReference w:id="1"/>
      </w:r>
      <w:r w:rsidRPr="00AA110F">
        <w:rPr>
          <w:rFonts w:cstheme="minorHAnsi"/>
          <w:b/>
          <w:bCs/>
        </w:rPr>
        <w:t xml:space="preserve"> and estimated for 2021</w:t>
      </w:r>
    </w:p>
    <w:tbl>
      <w:tblPr>
        <w:tblW w:w="8794" w:type="dxa"/>
        <w:tblLook w:val="04A0" w:firstRow="1" w:lastRow="0" w:firstColumn="1" w:lastColumn="0" w:noHBand="0" w:noVBand="1"/>
      </w:tblPr>
      <w:tblGrid>
        <w:gridCol w:w="2836"/>
        <w:gridCol w:w="1119"/>
        <w:gridCol w:w="1016"/>
        <w:gridCol w:w="952"/>
        <w:gridCol w:w="952"/>
        <w:gridCol w:w="952"/>
        <w:gridCol w:w="967"/>
      </w:tblGrid>
      <w:tr w:rsidR="00CB17F0" w:rsidRPr="00CB17F0" w14:paraId="40D981AB" w14:textId="77777777" w:rsidTr="006C5C67">
        <w:trPr>
          <w:trHeight w:val="1200"/>
        </w:trPr>
        <w:tc>
          <w:tcPr>
            <w:tcW w:w="2835" w:type="dxa"/>
            <w:tcBorders>
              <w:top w:val="nil"/>
              <w:left w:val="nil"/>
              <w:bottom w:val="single" w:sz="4" w:space="0" w:color="auto"/>
              <w:right w:val="nil"/>
            </w:tcBorders>
            <w:shd w:val="clear" w:color="auto" w:fill="auto"/>
            <w:noWrap/>
            <w:vAlign w:val="center"/>
            <w:hideMark/>
          </w:tcPr>
          <w:p w14:paraId="22A75147" w14:textId="4BEE8611" w:rsidR="00CB17F0" w:rsidRPr="00CB17F0" w:rsidRDefault="00CB17F0" w:rsidP="00CB17F0">
            <w:pPr>
              <w:spacing w:after="0" w:line="240" w:lineRule="auto"/>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Estab</w:t>
            </w:r>
            <w:r w:rsidR="002B1876">
              <w:rPr>
                <w:rFonts w:ascii="Calibri" w:eastAsia="Times New Roman" w:hAnsi="Calibri" w:cs="Calibri"/>
                <w:b/>
                <w:bCs/>
                <w:color w:val="000000"/>
                <w:lang w:eastAsia="en-GB"/>
              </w:rPr>
              <w:t xml:space="preserve">lishment </w:t>
            </w:r>
            <w:r w:rsidRPr="00CB17F0">
              <w:rPr>
                <w:rFonts w:ascii="Calibri" w:eastAsia="Times New Roman" w:hAnsi="Calibri" w:cs="Calibri"/>
                <w:b/>
                <w:bCs/>
                <w:color w:val="000000"/>
                <w:lang w:eastAsia="en-GB"/>
              </w:rPr>
              <w:t>Type</w:t>
            </w:r>
          </w:p>
        </w:tc>
        <w:tc>
          <w:tcPr>
            <w:tcW w:w="1126" w:type="dxa"/>
            <w:tcBorders>
              <w:top w:val="nil"/>
              <w:left w:val="nil"/>
              <w:bottom w:val="single" w:sz="4" w:space="0" w:color="auto"/>
              <w:right w:val="nil"/>
            </w:tcBorders>
            <w:shd w:val="clear" w:color="auto" w:fill="auto"/>
            <w:vAlign w:val="center"/>
            <w:hideMark/>
          </w:tcPr>
          <w:p w14:paraId="07E5C399" w14:textId="77777777"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100+ CEs added to in 2011</w:t>
            </w:r>
          </w:p>
        </w:tc>
        <w:tc>
          <w:tcPr>
            <w:tcW w:w="1001" w:type="dxa"/>
            <w:tcBorders>
              <w:top w:val="nil"/>
              <w:left w:val="nil"/>
              <w:bottom w:val="single" w:sz="4" w:space="0" w:color="auto"/>
              <w:right w:val="nil"/>
            </w:tcBorders>
            <w:shd w:val="clear" w:color="auto" w:fill="auto"/>
            <w:vAlign w:val="center"/>
            <w:hideMark/>
          </w:tcPr>
          <w:p w14:paraId="148D7DE8" w14:textId="76F073B8"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100+ assessed in 2011</w:t>
            </w:r>
          </w:p>
        </w:tc>
        <w:tc>
          <w:tcPr>
            <w:tcW w:w="955" w:type="dxa"/>
            <w:tcBorders>
              <w:top w:val="nil"/>
              <w:left w:val="nil"/>
              <w:bottom w:val="single" w:sz="4" w:space="0" w:color="auto"/>
              <w:right w:val="nil"/>
            </w:tcBorders>
            <w:shd w:val="clear" w:color="auto" w:fill="auto"/>
            <w:vAlign w:val="center"/>
            <w:hideMark/>
          </w:tcPr>
          <w:p w14:paraId="1323DF09" w14:textId="1E237012"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100+ bed</w:t>
            </w:r>
            <w:r w:rsidRPr="006C5C67">
              <w:rPr>
                <w:rFonts w:ascii="Calibri" w:eastAsia="Times New Roman" w:hAnsi="Calibri" w:cs="Calibri"/>
                <w:b/>
                <w:bCs/>
                <w:color w:val="000000"/>
                <w:lang w:eastAsia="en-GB"/>
              </w:rPr>
              <w:t xml:space="preserve"> </w:t>
            </w:r>
            <w:r w:rsidRPr="00CB17F0">
              <w:rPr>
                <w:rFonts w:ascii="Calibri" w:eastAsia="Times New Roman" w:hAnsi="Calibri" w:cs="Calibri"/>
                <w:b/>
                <w:bCs/>
                <w:color w:val="000000"/>
                <w:lang w:eastAsia="en-GB"/>
              </w:rPr>
              <w:t>spaces 2011</w:t>
            </w:r>
          </w:p>
        </w:tc>
        <w:tc>
          <w:tcPr>
            <w:tcW w:w="955" w:type="dxa"/>
            <w:tcBorders>
              <w:top w:val="nil"/>
              <w:left w:val="nil"/>
              <w:bottom w:val="single" w:sz="4" w:space="0" w:color="auto"/>
              <w:right w:val="nil"/>
            </w:tcBorders>
            <w:shd w:val="clear" w:color="auto" w:fill="auto"/>
            <w:vAlign w:val="center"/>
            <w:hideMark/>
          </w:tcPr>
          <w:p w14:paraId="6230271F" w14:textId="508F1929"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50-99 bed</w:t>
            </w:r>
            <w:r w:rsidRPr="006C5C67">
              <w:rPr>
                <w:rFonts w:ascii="Calibri" w:eastAsia="Times New Roman" w:hAnsi="Calibri" w:cs="Calibri"/>
                <w:b/>
                <w:bCs/>
                <w:color w:val="000000"/>
                <w:lang w:eastAsia="en-GB"/>
              </w:rPr>
              <w:t xml:space="preserve"> </w:t>
            </w:r>
            <w:r w:rsidRPr="00CB17F0">
              <w:rPr>
                <w:rFonts w:ascii="Calibri" w:eastAsia="Times New Roman" w:hAnsi="Calibri" w:cs="Calibri"/>
                <w:b/>
                <w:bCs/>
                <w:color w:val="000000"/>
                <w:lang w:eastAsia="en-GB"/>
              </w:rPr>
              <w:t>spaces 2011</w:t>
            </w:r>
          </w:p>
        </w:tc>
        <w:tc>
          <w:tcPr>
            <w:tcW w:w="955" w:type="dxa"/>
            <w:tcBorders>
              <w:top w:val="nil"/>
              <w:left w:val="nil"/>
              <w:bottom w:val="single" w:sz="4" w:space="0" w:color="auto"/>
              <w:right w:val="nil"/>
            </w:tcBorders>
            <w:shd w:val="clear" w:color="auto" w:fill="auto"/>
            <w:vAlign w:val="center"/>
            <w:hideMark/>
          </w:tcPr>
          <w:p w14:paraId="6C59BBB5" w14:textId="1CC523B2"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50+ bed</w:t>
            </w:r>
            <w:r w:rsidRPr="006C5C67">
              <w:rPr>
                <w:rFonts w:ascii="Calibri" w:eastAsia="Times New Roman" w:hAnsi="Calibri" w:cs="Calibri"/>
                <w:b/>
                <w:bCs/>
                <w:color w:val="000000"/>
                <w:lang w:eastAsia="en-GB"/>
              </w:rPr>
              <w:t xml:space="preserve"> </w:t>
            </w:r>
            <w:r w:rsidRPr="00CB17F0">
              <w:rPr>
                <w:rFonts w:ascii="Calibri" w:eastAsia="Times New Roman" w:hAnsi="Calibri" w:cs="Calibri"/>
                <w:b/>
                <w:bCs/>
                <w:color w:val="000000"/>
                <w:lang w:eastAsia="en-GB"/>
              </w:rPr>
              <w:t>spaces 2011</w:t>
            </w:r>
          </w:p>
        </w:tc>
        <w:tc>
          <w:tcPr>
            <w:tcW w:w="967" w:type="dxa"/>
            <w:tcBorders>
              <w:top w:val="nil"/>
              <w:left w:val="nil"/>
              <w:bottom w:val="single" w:sz="4" w:space="0" w:color="auto"/>
              <w:right w:val="nil"/>
            </w:tcBorders>
            <w:shd w:val="clear" w:color="auto" w:fill="auto"/>
            <w:vAlign w:val="center"/>
            <w:hideMark/>
          </w:tcPr>
          <w:p w14:paraId="4982FABA" w14:textId="2FE43976" w:rsidR="00CB17F0" w:rsidRPr="00CB17F0" w:rsidRDefault="00CB17F0" w:rsidP="00CB17F0">
            <w:pPr>
              <w:spacing w:after="0" w:line="240" w:lineRule="auto"/>
              <w:jc w:val="right"/>
              <w:rPr>
                <w:rFonts w:ascii="Calibri" w:eastAsia="Times New Roman" w:hAnsi="Calibri" w:cs="Calibri"/>
                <w:b/>
                <w:bCs/>
                <w:color w:val="000000"/>
                <w:lang w:eastAsia="en-GB"/>
              </w:rPr>
            </w:pPr>
            <w:r w:rsidRPr="00CB17F0">
              <w:rPr>
                <w:rFonts w:ascii="Calibri" w:eastAsia="Times New Roman" w:hAnsi="Calibri" w:cs="Calibri"/>
                <w:b/>
                <w:bCs/>
                <w:color w:val="000000"/>
                <w:lang w:eastAsia="en-GB"/>
              </w:rPr>
              <w:t>likely 50+ bed</w:t>
            </w:r>
            <w:r w:rsidRPr="006C5C67">
              <w:rPr>
                <w:rFonts w:ascii="Calibri" w:eastAsia="Times New Roman" w:hAnsi="Calibri" w:cs="Calibri"/>
                <w:b/>
                <w:bCs/>
                <w:color w:val="000000"/>
                <w:lang w:eastAsia="en-GB"/>
              </w:rPr>
              <w:t xml:space="preserve"> </w:t>
            </w:r>
            <w:r w:rsidRPr="00CB17F0">
              <w:rPr>
                <w:rFonts w:ascii="Calibri" w:eastAsia="Times New Roman" w:hAnsi="Calibri" w:cs="Calibri"/>
                <w:b/>
                <w:bCs/>
                <w:color w:val="000000"/>
                <w:lang w:eastAsia="en-GB"/>
              </w:rPr>
              <w:t>spaces 2021</w:t>
            </w:r>
          </w:p>
        </w:tc>
      </w:tr>
      <w:tr w:rsidR="006C5C67" w:rsidRPr="00CB17F0" w14:paraId="62D77204" w14:textId="77777777" w:rsidTr="006C5C67">
        <w:trPr>
          <w:trHeight w:val="300"/>
        </w:trPr>
        <w:tc>
          <w:tcPr>
            <w:tcW w:w="2835" w:type="dxa"/>
            <w:tcBorders>
              <w:top w:val="single" w:sz="4" w:space="0" w:color="auto"/>
              <w:left w:val="nil"/>
              <w:bottom w:val="nil"/>
              <w:right w:val="nil"/>
            </w:tcBorders>
            <w:shd w:val="clear" w:color="auto" w:fill="auto"/>
            <w:noWrap/>
            <w:vAlign w:val="center"/>
            <w:hideMark/>
          </w:tcPr>
          <w:p w14:paraId="73505DA0" w14:textId="77777777" w:rsidR="006C5C67" w:rsidRPr="00CB17F0" w:rsidRDefault="006C5C67"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Student Halls</w:t>
            </w:r>
          </w:p>
        </w:tc>
        <w:tc>
          <w:tcPr>
            <w:tcW w:w="1126" w:type="dxa"/>
            <w:tcBorders>
              <w:top w:val="single" w:sz="4" w:space="0" w:color="auto"/>
              <w:left w:val="nil"/>
              <w:bottom w:val="nil"/>
              <w:right w:val="nil"/>
            </w:tcBorders>
            <w:shd w:val="clear" w:color="auto" w:fill="auto"/>
            <w:vAlign w:val="center"/>
            <w:hideMark/>
          </w:tcPr>
          <w:p w14:paraId="6D24C187"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320</w:t>
            </w:r>
          </w:p>
        </w:tc>
        <w:tc>
          <w:tcPr>
            <w:tcW w:w="1001" w:type="dxa"/>
            <w:tcBorders>
              <w:top w:val="single" w:sz="4" w:space="0" w:color="auto"/>
              <w:left w:val="nil"/>
              <w:bottom w:val="nil"/>
              <w:right w:val="nil"/>
            </w:tcBorders>
            <w:shd w:val="clear" w:color="auto" w:fill="auto"/>
            <w:noWrap/>
            <w:vAlign w:val="center"/>
            <w:hideMark/>
          </w:tcPr>
          <w:p w14:paraId="3621425E"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421</w:t>
            </w:r>
          </w:p>
        </w:tc>
        <w:tc>
          <w:tcPr>
            <w:tcW w:w="955" w:type="dxa"/>
            <w:tcBorders>
              <w:top w:val="single" w:sz="4" w:space="0" w:color="auto"/>
              <w:left w:val="nil"/>
              <w:bottom w:val="nil"/>
              <w:right w:val="nil"/>
            </w:tcBorders>
            <w:shd w:val="clear" w:color="auto" w:fill="auto"/>
            <w:vAlign w:val="center"/>
            <w:hideMark/>
          </w:tcPr>
          <w:p w14:paraId="34FBE066"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1086</w:t>
            </w:r>
          </w:p>
        </w:tc>
        <w:tc>
          <w:tcPr>
            <w:tcW w:w="955" w:type="dxa"/>
            <w:tcBorders>
              <w:top w:val="single" w:sz="4" w:space="0" w:color="auto"/>
              <w:left w:val="nil"/>
              <w:bottom w:val="nil"/>
              <w:right w:val="nil"/>
            </w:tcBorders>
            <w:shd w:val="clear" w:color="auto" w:fill="auto"/>
            <w:vAlign w:val="center"/>
            <w:hideMark/>
          </w:tcPr>
          <w:p w14:paraId="3DDC7123"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592</w:t>
            </w:r>
          </w:p>
        </w:tc>
        <w:tc>
          <w:tcPr>
            <w:tcW w:w="955" w:type="dxa"/>
            <w:tcBorders>
              <w:top w:val="single" w:sz="4" w:space="0" w:color="auto"/>
              <w:left w:val="nil"/>
              <w:bottom w:val="nil"/>
              <w:right w:val="nil"/>
            </w:tcBorders>
            <w:shd w:val="clear" w:color="auto" w:fill="auto"/>
            <w:vAlign w:val="center"/>
            <w:hideMark/>
          </w:tcPr>
          <w:p w14:paraId="4CED1B83"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1678</w:t>
            </w:r>
          </w:p>
        </w:tc>
        <w:tc>
          <w:tcPr>
            <w:tcW w:w="967" w:type="dxa"/>
            <w:vMerge w:val="restart"/>
            <w:tcBorders>
              <w:top w:val="single" w:sz="4" w:space="0" w:color="auto"/>
              <w:left w:val="nil"/>
              <w:right w:val="nil"/>
            </w:tcBorders>
            <w:shd w:val="clear" w:color="auto" w:fill="auto"/>
            <w:vAlign w:val="center"/>
            <w:hideMark/>
          </w:tcPr>
          <w:p w14:paraId="3F455B96"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4600</w:t>
            </w:r>
          </w:p>
        </w:tc>
      </w:tr>
      <w:tr w:rsidR="006C5C67" w:rsidRPr="00CB17F0" w14:paraId="166333A1" w14:textId="77777777" w:rsidTr="002B1876">
        <w:trPr>
          <w:trHeight w:val="300"/>
        </w:trPr>
        <w:tc>
          <w:tcPr>
            <w:tcW w:w="2835" w:type="dxa"/>
            <w:tcBorders>
              <w:top w:val="nil"/>
              <w:left w:val="nil"/>
              <w:bottom w:val="nil"/>
              <w:right w:val="nil"/>
            </w:tcBorders>
            <w:shd w:val="clear" w:color="auto" w:fill="auto"/>
            <w:noWrap/>
            <w:vAlign w:val="center"/>
            <w:hideMark/>
          </w:tcPr>
          <w:p w14:paraId="7E3DEC33" w14:textId="77777777" w:rsidR="006C5C67" w:rsidRPr="00CB17F0" w:rsidRDefault="006C5C67"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Residential/nursing home</w:t>
            </w:r>
          </w:p>
        </w:tc>
        <w:tc>
          <w:tcPr>
            <w:tcW w:w="1126" w:type="dxa"/>
            <w:tcBorders>
              <w:top w:val="nil"/>
              <w:left w:val="nil"/>
              <w:bottom w:val="nil"/>
              <w:right w:val="nil"/>
            </w:tcBorders>
            <w:shd w:val="clear" w:color="auto" w:fill="auto"/>
            <w:vAlign w:val="center"/>
            <w:hideMark/>
          </w:tcPr>
          <w:p w14:paraId="289B5E2F"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w:t>
            </w:r>
          </w:p>
        </w:tc>
        <w:tc>
          <w:tcPr>
            <w:tcW w:w="1001" w:type="dxa"/>
            <w:tcBorders>
              <w:top w:val="nil"/>
              <w:left w:val="nil"/>
              <w:bottom w:val="nil"/>
              <w:right w:val="nil"/>
            </w:tcBorders>
            <w:shd w:val="clear" w:color="auto" w:fill="auto"/>
            <w:noWrap/>
            <w:vAlign w:val="center"/>
            <w:hideMark/>
          </w:tcPr>
          <w:p w14:paraId="6B78FC13"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9</w:t>
            </w:r>
          </w:p>
        </w:tc>
        <w:tc>
          <w:tcPr>
            <w:tcW w:w="955" w:type="dxa"/>
            <w:tcBorders>
              <w:top w:val="nil"/>
              <w:left w:val="nil"/>
              <w:bottom w:val="nil"/>
              <w:right w:val="nil"/>
            </w:tcBorders>
            <w:shd w:val="clear" w:color="auto" w:fill="auto"/>
            <w:vAlign w:val="center"/>
            <w:hideMark/>
          </w:tcPr>
          <w:p w14:paraId="1B6B5E4A"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131</w:t>
            </w:r>
          </w:p>
        </w:tc>
        <w:tc>
          <w:tcPr>
            <w:tcW w:w="955" w:type="dxa"/>
            <w:tcBorders>
              <w:top w:val="nil"/>
              <w:left w:val="nil"/>
              <w:bottom w:val="nil"/>
              <w:right w:val="nil"/>
            </w:tcBorders>
            <w:shd w:val="clear" w:color="auto" w:fill="auto"/>
            <w:vAlign w:val="center"/>
            <w:hideMark/>
          </w:tcPr>
          <w:p w14:paraId="010CFA41"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1263</w:t>
            </w:r>
          </w:p>
        </w:tc>
        <w:tc>
          <w:tcPr>
            <w:tcW w:w="955" w:type="dxa"/>
            <w:tcBorders>
              <w:top w:val="nil"/>
              <w:left w:val="nil"/>
              <w:bottom w:val="nil"/>
              <w:right w:val="nil"/>
            </w:tcBorders>
            <w:shd w:val="clear" w:color="auto" w:fill="auto"/>
            <w:vAlign w:val="center"/>
            <w:hideMark/>
          </w:tcPr>
          <w:p w14:paraId="69E93A05" w14:textId="77777777" w:rsidR="006C5C67" w:rsidRPr="00CB17F0" w:rsidRDefault="006C5C67"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1394</w:t>
            </w:r>
          </w:p>
        </w:tc>
        <w:tc>
          <w:tcPr>
            <w:tcW w:w="967" w:type="dxa"/>
            <w:vMerge/>
            <w:tcBorders>
              <w:left w:val="nil"/>
              <w:bottom w:val="nil"/>
              <w:right w:val="nil"/>
            </w:tcBorders>
            <w:shd w:val="clear" w:color="auto" w:fill="auto"/>
            <w:noWrap/>
            <w:vAlign w:val="bottom"/>
            <w:hideMark/>
          </w:tcPr>
          <w:p w14:paraId="3363CAAE" w14:textId="77777777" w:rsidR="006C5C67" w:rsidRPr="00CB17F0" w:rsidRDefault="006C5C67" w:rsidP="00CB17F0">
            <w:pPr>
              <w:spacing w:after="0" w:line="240" w:lineRule="auto"/>
              <w:jc w:val="right"/>
              <w:rPr>
                <w:rFonts w:ascii="Calibri" w:eastAsia="Times New Roman" w:hAnsi="Calibri" w:cs="Calibri"/>
                <w:color w:val="000000"/>
                <w:lang w:eastAsia="en-GB"/>
              </w:rPr>
            </w:pPr>
          </w:p>
        </w:tc>
      </w:tr>
      <w:tr w:rsidR="00CB17F0" w:rsidRPr="00CB17F0" w14:paraId="52C284AB" w14:textId="77777777" w:rsidTr="00CB17F0">
        <w:trPr>
          <w:trHeight w:val="300"/>
        </w:trPr>
        <w:tc>
          <w:tcPr>
            <w:tcW w:w="2835" w:type="dxa"/>
            <w:tcBorders>
              <w:top w:val="nil"/>
              <w:left w:val="nil"/>
              <w:bottom w:val="nil"/>
              <w:right w:val="nil"/>
            </w:tcBorders>
            <w:shd w:val="clear" w:color="auto" w:fill="auto"/>
            <w:noWrap/>
            <w:vAlign w:val="center"/>
            <w:hideMark/>
          </w:tcPr>
          <w:p w14:paraId="76C066BA"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Boarding School</w:t>
            </w:r>
          </w:p>
        </w:tc>
        <w:tc>
          <w:tcPr>
            <w:tcW w:w="1126" w:type="dxa"/>
            <w:tcBorders>
              <w:top w:val="nil"/>
              <w:left w:val="nil"/>
              <w:bottom w:val="nil"/>
              <w:right w:val="nil"/>
            </w:tcBorders>
            <w:shd w:val="clear" w:color="auto" w:fill="auto"/>
            <w:vAlign w:val="center"/>
            <w:hideMark/>
          </w:tcPr>
          <w:p w14:paraId="4E31D319"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31</w:t>
            </w:r>
          </w:p>
        </w:tc>
        <w:tc>
          <w:tcPr>
            <w:tcW w:w="1001" w:type="dxa"/>
            <w:tcBorders>
              <w:top w:val="nil"/>
              <w:left w:val="nil"/>
              <w:bottom w:val="nil"/>
              <w:right w:val="nil"/>
            </w:tcBorders>
            <w:shd w:val="clear" w:color="auto" w:fill="auto"/>
            <w:noWrap/>
            <w:vAlign w:val="center"/>
            <w:hideMark/>
          </w:tcPr>
          <w:p w14:paraId="687C44B7"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68</w:t>
            </w:r>
          </w:p>
        </w:tc>
        <w:tc>
          <w:tcPr>
            <w:tcW w:w="955" w:type="dxa"/>
            <w:tcBorders>
              <w:top w:val="nil"/>
              <w:left w:val="nil"/>
              <w:bottom w:val="nil"/>
              <w:right w:val="nil"/>
            </w:tcBorders>
            <w:shd w:val="clear" w:color="auto" w:fill="auto"/>
            <w:vAlign w:val="center"/>
            <w:hideMark/>
          </w:tcPr>
          <w:p w14:paraId="02650A22"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405</w:t>
            </w:r>
          </w:p>
        </w:tc>
        <w:tc>
          <w:tcPr>
            <w:tcW w:w="955" w:type="dxa"/>
            <w:tcBorders>
              <w:top w:val="nil"/>
              <w:left w:val="nil"/>
              <w:bottom w:val="nil"/>
              <w:right w:val="nil"/>
            </w:tcBorders>
            <w:shd w:val="clear" w:color="auto" w:fill="auto"/>
            <w:vAlign w:val="center"/>
            <w:hideMark/>
          </w:tcPr>
          <w:p w14:paraId="7942722C"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166</w:t>
            </w:r>
          </w:p>
        </w:tc>
        <w:tc>
          <w:tcPr>
            <w:tcW w:w="955" w:type="dxa"/>
            <w:tcBorders>
              <w:top w:val="nil"/>
              <w:left w:val="nil"/>
              <w:bottom w:val="nil"/>
              <w:right w:val="nil"/>
            </w:tcBorders>
            <w:shd w:val="clear" w:color="auto" w:fill="auto"/>
            <w:vAlign w:val="center"/>
            <w:hideMark/>
          </w:tcPr>
          <w:p w14:paraId="0522E831"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571</w:t>
            </w:r>
          </w:p>
        </w:tc>
        <w:tc>
          <w:tcPr>
            <w:tcW w:w="967" w:type="dxa"/>
            <w:tcBorders>
              <w:top w:val="nil"/>
              <w:left w:val="nil"/>
              <w:bottom w:val="nil"/>
              <w:right w:val="nil"/>
            </w:tcBorders>
            <w:shd w:val="clear" w:color="auto" w:fill="auto"/>
            <w:noWrap/>
            <w:vAlign w:val="bottom"/>
            <w:hideMark/>
          </w:tcPr>
          <w:p w14:paraId="27326111" w14:textId="28FCC9C4"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516B1DD2" w14:textId="77777777" w:rsidTr="00CB17F0">
        <w:trPr>
          <w:trHeight w:val="300"/>
        </w:trPr>
        <w:tc>
          <w:tcPr>
            <w:tcW w:w="2835" w:type="dxa"/>
            <w:tcBorders>
              <w:top w:val="nil"/>
              <w:left w:val="nil"/>
              <w:bottom w:val="nil"/>
              <w:right w:val="nil"/>
            </w:tcBorders>
            <w:shd w:val="clear" w:color="auto" w:fill="auto"/>
            <w:noWrap/>
            <w:vAlign w:val="center"/>
            <w:hideMark/>
          </w:tcPr>
          <w:p w14:paraId="0B687681"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Prison</w:t>
            </w:r>
          </w:p>
        </w:tc>
        <w:tc>
          <w:tcPr>
            <w:tcW w:w="1126" w:type="dxa"/>
            <w:tcBorders>
              <w:top w:val="nil"/>
              <w:left w:val="nil"/>
              <w:bottom w:val="nil"/>
              <w:right w:val="nil"/>
            </w:tcBorders>
            <w:shd w:val="clear" w:color="auto" w:fill="auto"/>
            <w:vAlign w:val="center"/>
            <w:hideMark/>
          </w:tcPr>
          <w:p w14:paraId="4196F94C"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86</w:t>
            </w:r>
          </w:p>
        </w:tc>
        <w:tc>
          <w:tcPr>
            <w:tcW w:w="1001" w:type="dxa"/>
            <w:tcBorders>
              <w:top w:val="nil"/>
              <w:left w:val="nil"/>
              <w:bottom w:val="nil"/>
              <w:right w:val="nil"/>
            </w:tcBorders>
            <w:shd w:val="clear" w:color="auto" w:fill="auto"/>
            <w:noWrap/>
            <w:vAlign w:val="center"/>
            <w:hideMark/>
          </w:tcPr>
          <w:p w14:paraId="57E6A88F"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123</w:t>
            </w:r>
          </w:p>
        </w:tc>
        <w:tc>
          <w:tcPr>
            <w:tcW w:w="955" w:type="dxa"/>
            <w:tcBorders>
              <w:top w:val="nil"/>
              <w:left w:val="nil"/>
              <w:bottom w:val="nil"/>
              <w:right w:val="nil"/>
            </w:tcBorders>
            <w:shd w:val="clear" w:color="auto" w:fill="auto"/>
            <w:vAlign w:val="center"/>
            <w:hideMark/>
          </w:tcPr>
          <w:p w14:paraId="46DD4885"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236</w:t>
            </w:r>
          </w:p>
        </w:tc>
        <w:tc>
          <w:tcPr>
            <w:tcW w:w="955" w:type="dxa"/>
            <w:tcBorders>
              <w:top w:val="nil"/>
              <w:left w:val="nil"/>
              <w:bottom w:val="nil"/>
              <w:right w:val="nil"/>
            </w:tcBorders>
            <w:shd w:val="clear" w:color="auto" w:fill="auto"/>
            <w:vAlign w:val="center"/>
            <w:hideMark/>
          </w:tcPr>
          <w:p w14:paraId="3233F69A"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92</w:t>
            </w:r>
          </w:p>
        </w:tc>
        <w:tc>
          <w:tcPr>
            <w:tcW w:w="955" w:type="dxa"/>
            <w:tcBorders>
              <w:top w:val="nil"/>
              <w:left w:val="nil"/>
              <w:bottom w:val="nil"/>
              <w:right w:val="nil"/>
            </w:tcBorders>
            <w:shd w:val="clear" w:color="auto" w:fill="auto"/>
            <w:vAlign w:val="center"/>
            <w:hideMark/>
          </w:tcPr>
          <w:p w14:paraId="0E883516"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328</w:t>
            </w:r>
          </w:p>
        </w:tc>
        <w:tc>
          <w:tcPr>
            <w:tcW w:w="967" w:type="dxa"/>
            <w:tcBorders>
              <w:top w:val="nil"/>
              <w:left w:val="nil"/>
              <w:bottom w:val="nil"/>
              <w:right w:val="nil"/>
            </w:tcBorders>
            <w:shd w:val="clear" w:color="auto" w:fill="auto"/>
            <w:noWrap/>
            <w:vAlign w:val="bottom"/>
            <w:hideMark/>
          </w:tcPr>
          <w:p w14:paraId="1A6936E1" w14:textId="002DA68A" w:rsidR="00CB17F0" w:rsidRPr="00CB17F0" w:rsidRDefault="006C5C67" w:rsidP="006C5C67">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T</w:t>
            </w:r>
            <w:r w:rsidR="00CB17F0" w:rsidRPr="00CB17F0">
              <w:rPr>
                <w:rFonts w:ascii="Calibri" w:eastAsia="Times New Roman" w:hAnsi="Calibri" w:cs="Calibri"/>
                <w:color w:val="000000"/>
                <w:lang w:eastAsia="en-GB"/>
              </w:rPr>
              <w:t>bc</w:t>
            </w:r>
          </w:p>
        </w:tc>
      </w:tr>
      <w:tr w:rsidR="00CB17F0" w:rsidRPr="00CB17F0" w14:paraId="7B0BD27D" w14:textId="77777777" w:rsidTr="00CB17F0">
        <w:trPr>
          <w:trHeight w:val="300"/>
        </w:trPr>
        <w:tc>
          <w:tcPr>
            <w:tcW w:w="2835" w:type="dxa"/>
            <w:tcBorders>
              <w:top w:val="nil"/>
              <w:left w:val="nil"/>
              <w:bottom w:val="nil"/>
              <w:right w:val="nil"/>
            </w:tcBorders>
            <w:shd w:val="clear" w:color="auto" w:fill="auto"/>
            <w:noWrap/>
            <w:vAlign w:val="center"/>
            <w:hideMark/>
          </w:tcPr>
          <w:p w14:paraId="1563D117"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 xml:space="preserve">Armed forces base </w:t>
            </w:r>
            <w:proofErr w:type="spellStart"/>
            <w:r w:rsidRPr="00CB17F0">
              <w:rPr>
                <w:rFonts w:ascii="Calibri" w:eastAsia="Times New Roman" w:hAnsi="Calibri" w:cs="Calibri"/>
                <w:color w:val="000000"/>
                <w:lang w:eastAsia="en-GB"/>
              </w:rPr>
              <w:t>accom</w:t>
            </w:r>
            <w:proofErr w:type="spellEnd"/>
            <w:r w:rsidRPr="00CB17F0">
              <w:rPr>
                <w:rFonts w:ascii="Calibri" w:eastAsia="Times New Roman" w:hAnsi="Calibri" w:cs="Calibri"/>
                <w:color w:val="000000"/>
                <w:lang w:eastAsia="en-GB"/>
              </w:rPr>
              <w:t>.</w:t>
            </w:r>
          </w:p>
        </w:tc>
        <w:tc>
          <w:tcPr>
            <w:tcW w:w="1126" w:type="dxa"/>
            <w:tcBorders>
              <w:top w:val="nil"/>
              <w:left w:val="nil"/>
              <w:bottom w:val="nil"/>
              <w:right w:val="nil"/>
            </w:tcBorders>
            <w:shd w:val="clear" w:color="auto" w:fill="auto"/>
            <w:vAlign w:val="center"/>
            <w:hideMark/>
          </w:tcPr>
          <w:p w14:paraId="315923FE"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38</w:t>
            </w:r>
          </w:p>
        </w:tc>
        <w:tc>
          <w:tcPr>
            <w:tcW w:w="1001" w:type="dxa"/>
            <w:tcBorders>
              <w:top w:val="nil"/>
              <w:left w:val="nil"/>
              <w:bottom w:val="nil"/>
              <w:right w:val="nil"/>
            </w:tcBorders>
            <w:shd w:val="clear" w:color="auto" w:fill="auto"/>
            <w:noWrap/>
            <w:vAlign w:val="center"/>
            <w:hideMark/>
          </w:tcPr>
          <w:p w14:paraId="43C6896F"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84</w:t>
            </w:r>
          </w:p>
        </w:tc>
        <w:tc>
          <w:tcPr>
            <w:tcW w:w="955" w:type="dxa"/>
            <w:tcBorders>
              <w:top w:val="nil"/>
              <w:left w:val="nil"/>
              <w:bottom w:val="nil"/>
              <w:right w:val="nil"/>
            </w:tcBorders>
            <w:shd w:val="clear" w:color="auto" w:fill="auto"/>
            <w:vAlign w:val="center"/>
            <w:hideMark/>
          </w:tcPr>
          <w:p w14:paraId="32935013"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201</w:t>
            </w:r>
          </w:p>
        </w:tc>
        <w:tc>
          <w:tcPr>
            <w:tcW w:w="955" w:type="dxa"/>
            <w:tcBorders>
              <w:top w:val="nil"/>
              <w:left w:val="nil"/>
              <w:bottom w:val="nil"/>
              <w:right w:val="nil"/>
            </w:tcBorders>
            <w:shd w:val="clear" w:color="auto" w:fill="auto"/>
            <w:vAlign w:val="center"/>
            <w:hideMark/>
          </w:tcPr>
          <w:p w14:paraId="5873C031"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59</w:t>
            </w:r>
          </w:p>
        </w:tc>
        <w:tc>
          <w:tcPr>
            <w:tcW w:w="955" w:type="dxa"/>
            <w:tcBorders>
              <w:top w:val="nil"/>
              <w:left w:val="nil"/>
              <w:bottom w:val="nil"/>
              <w:right w:val="nil"/>
            </w:tcBorders>
            <w:shd w:val="clear" w:color="auto" w:fill="auto"/>
            <w:vAlign w:val="center"/>
            <w:hideMark/>
          </w:tcPr>
          <w:p w14:paraId="6BA10917"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260</w:t>
            </w:r>
          </w:p>
        </w:tc>
        <w:tc>
          <w:tcPr>
            <w:tcW w:w="967" w:type="dxa"/>
            <w:tcBorders>
              <w:top w:val="nil"/>
              <w:left w:val="nil"/>
              <w:bottom w:val="nil"/>
              <w:right w:val="nil"/>
            </w:tcBorders>
            <w:shd w:val="clear" w:color="auto" w:fill="auto"/>
            <w:noWrap/>
            <w:vAlign w:val="bottom"/>
            <w:hideMark/>
          </w:tcPr>
          <w:p w14:paraId="1BE6A9C6" w14:textId="2DF841AC" w:rsidR="00CB17F0" w:rsidRPr="00CB17F0" w:rsidRDefault="006C5C67" w:rsidP="006C5C67">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78B34C21" w14:textId="77777777" w:rsidTr="00CB17F0">
        <w:trPr>
          <w:trHeight w:val="300"/>
        </w:trPr>
        <w:tc>
          <w:tcPr>
            <w:tcW w:w="2835" w:type="dxa"/>
            <w:tcBorders>
              <w:top w:val="nil"/>
              <w:left w:val="nil"/>
              <w:bottom w:val="nil"/>
              <w:right w:val="nil"/>
            </w:tcBorders>
            <w:shd w:val="clear" w:color="auto" w:fill="auto"/>
            <w:noWrap/>
            <w:vAlign w:val="center"/>
            <w:hideMark/>
          </w:tcPr>
          <w:p w14:paraId="0F970325"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Homeless hostels</w:t>
            </w:r>
          </w:p>
        </w:tc>
        <w:tc>
          <w:tcPr>
            <w:tcW w:w="1126" w:type="dxa"/>
            <w:tcBorders>
              <w:top w:val="nil"/>
              <w:left w:val="nil"/>
              <w:bottom w:val="nil"/>
              <w:right w:val="nil"/>
            </w:tcBorders>
            <w:shd w:val="clear" w:color="auto" w:fill="auto"/>
            <w:vAlign w:val="center"/>
            <w:hideMark/>
          </w:tcPr>
          <w:p w14:paraId="2F604E20"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w:t>
            </w:r>
          </w:p>
        </w:tc>
        <w:tc>
          <w:tcPr>
            <w:tcW w:w="1001" w:type="dxa"/>
            <w:tcBorders>
              <w:top w:val="nil"/>
              <w:left w:val="nil"/>
              <w:bottom w:val="nil"/>
              <w:right w:val="nil"/>
            </w:tcBorders>
            <w:shd w:val="clear" w:color="auto" w:fill="auto"/>
            <w:noWrap/>
            <w:vAlign w:val="center"/>
            <w:hideMark/>
          </w:tcPr>
          <w:p w14:paraId="1CA1F77F"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10</w:t>
            </w:r>
          </w:p>
        </w:tc>
        <w:tc>
          <w:tcPr>
            <w:tcW w:w="955" w:type="dxa"/>
            <w:tcBorders>
              <w:top w:val="nil"/>
              <w:left w:val="nil"/>
              <w:bottom w:val="nil"/>
              <w:right w:val="nil"/>
            </w:tcBorders>
            <w:shd w:val="clear" w:color="auto" w:fill="auto"/>
            <w:vAlign w:val="center"/>
            <w:hideMark/>
          </w:tcPr>
          <w:p w14:paraId="0CA07CC3"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24</w:t>
            </w:r>
          </w:p>
        </w:tc>
        <w:tc>
          <w:tcPr>
            <w:tcW w:w="955" w:type="dxa"/>
            <w:tcBorders>
              <w:top w:val="nil"/>
              <w:left w:val="nil"/>
              <w:bottom w:val="nil"/>
              <w:right w:val="nil"/>
            </w:tcBorders>
            <w:shd w:val="clear" w:color="auto" w:fill="auto"/>
            <w:vAlign w:val="center"/>
            <w:hideMark/>
          </w:tcPr>
          <w:p w14:paraId="03DEEC1B"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56</w:t>
            </w:r>
          </w:p>
        </w:tc>
        <w:tc>
          <w:tcPr>
            <w:tcW w:w="955" w:type="dxa"/>
            <w:tcBorders>
              <w:top w:val="nil"/>
              <w:left w:val="nil"/>
              <w:bottom w:val="nil"/>
              <w:right w:val="nil"/>
            </w:tcBorders>
            <w:shd w:val="clear" w:color="auto" w:fill="auto"/>
            <w:vAlign w:val="center"/>
            <w:hideMark/>
          </w:tcPr>
          <w:p w14:paraId="1A14822E"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80</w:t>
            </w:r>
          </w:p>
        </w:tc>
        <w:tc>
          <w:tcPr>
            <w:tcW w:w="967" w:type="dxa"/>
            <w:tcBorders>
              <w:top w:val="nil"/>
              <w:left w:val="nil"/>
              <w:bottom w:val="nil"/>
              <w:right w:val="nil"/>
            </w:tcBorders>
            <w:shd w:val="clear" w:color="auto" w:fill="auto"/>
            <w:noWrap/>
            <w:vAlign w:val="bottom"/>
            <w:hideMark/>
          </w:tcPr>
          <w:p w14:paraId="1FD2E54C" w14:textId="72BBC2BB"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061DD216" w14:textId="77777777" w:rsidTr="00CB17F0">
        <w:trPr>
          <w:trHeight w:val="300"/>
        </w:trPr>
        <w:tc>
          <w:tcPr>
            <w:tcW w:w="2835" w:type="dxa"/>
            <w:tcBorders>
              <w:top w:val="nil"/>
              <w:left w:val="nil"/>
              <w:bottom w:val="nil"/>
              <w:right w:val="nil"/>
            </w:tcBorders>
            <w:shd w:val="clear" w:color="auto" w:fill="auto"/>
            <w:noWrap/>
            <w:vAlign w:val="center"/>
            <w:hideMark/>
          </w:tcPr>
          <w:p w14:paraId="117C7EAF"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Other Ed. Establishments</w:t>
            </w:r>
          </w:p>
        </w:tc>
        <w:tc>
          <w:tcPr>
            <w:tcW w:w="1126" w:type="dxa"/>
            <w:tcBorders>
              <w:top w:val="nil"/>
              <w:left w:val="nil"/>
              <w:bottom w:val="nil"/>
              <w:right w:val="nil"/>
            </w:tcBorders>
            <w:shd w:val="clear" w:color="auto" w:fill="auto"/>
            <w:vAlign w:val="center"/>
            <w:hideMark/>
          </w:tcPr>
          <w:p w14:paraId="7014BA3E" w14:textId="78C0018C"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001" w:type="dxa"/>
            <w:tcBorders>
              <w:top w:val="nil"/>
              <w:left w:val="nil"/>
              <w:bottom w:val="nil"/>
              <w:right w:val="nil"/>
            </w:tcBorders>
            <w:shd w:val="clear" w:color="auto" w:fill="auto"/>
            <w:noWrap/>
            <w:vAlign w:val="center"/>
            <w:hideMark/>
          </w:tcPr>
          <w:p w14:paraId="6639BEFA" w14:textId="790853DD"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955" w:type="dxa"/>
            <w:tcBorders>
              <w:top w:val="nil"/>
              <w:left w:val="nil"/>
              <w:bottom w:val="nil"/>
              <w:right w:val="nil"/>
            </w:tcBorders>
            <w:shd w:val="clear" w:color="auto" w:fill="auto"/>
            <w:vAlign w:val="center"/>
            <w:hideMark/>
          </w:tcPr>
          <w:p w14:paraId="506070BC" w14:textId="4F8636CD"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955" w:type="dxa"/>
            <w:tcBorders>
              <w:top w:val="nil"/>
              <w:left w:val="nil"/>
              <w:bottom w:val="nil"/>
              <w:right w:val="nil"/>
            </w:tcBorders>
            <w:shd w:val="clear" w:color="auto" w:fill="auto"/>
            <w:vAlign w:val="center"/>
            <w:hideMark/>
          </w:tcPr>
          <w:p w14:paraId="1ED1B610"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36</w:t>
            </w:r>
          </w:p>
        </w:tc>
        <w:tc>
          <w:tcPr>
            <w:tcW w:w="955" w:type="dxa"/>
            <w:tcBorders>
              <w:top w:val="nil"/>
              <w:left w:val="nil"/>
              <w:bottom w:val="nil"/>
              <w:right w:val="nil"/>
            </w:tcBorders>
            <w:shd w:val="clear" w:color="auto" w:fill="auto"/>
            <w:vAlign w:val="center"/>
            <w:hideMark/>
          </w:tcPr>
          <w:p w14:paraId="6E424E83"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39</w:t>
            </w:r>
          </w:p>
        </w:tc>
        <w:tc>
          <w:tcPr>
            <w:tcW w:w="967" w:type="dxa"/>
            <w:tcBorders>
              <w:top w:val="nil"/>
              <w:left w:val="nil"/>
              <w:bottom w:val="nil"/>
              <w:right w:val="nil"/>
            </w:tcBorders>
            <w:shd w:val="clear" w:color="auto" w:fill="auto"/>
            <w:noWrap/>
            <w:vAlign w:val="bottom"/>
            <w:hideMark/>
          </w:tcPr>
          <w:p w14:paraId="00CAFB78" w14:textId="5F730F4D"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6E44DEB3" w14:textId="77777777" w:rsidTr="00CB17F0">
        <w:trPr>
          <w:trHeight w:val="300"/>
        </w:trPr>
        <w:tc>
          <w:tcPr>
            <w:tcW w:w="2835" w:type="dxa"/>
            <w:tcBorders>
              <w:top w:val="nil"/>
              <w:left w:val="nil"/>
              <w:bottom w:val="nil"/>
              <w:right w:val="nil"/>
            </w:tcBorders>
            <w:shd w:val="clear" w:color="auto" w:fill="auto"/>
            <w:noWrap/>
            <w:vAlign w:val="center"/>
            <w:hideMark/>
          </w:tcPr>
          <w:p w14:paraId="41113EE8"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Hospitals</w:t>
            </w:r>
          </w:p>
        </w:tc>
        <w:tc>
          <w:tcPr>
            <w:tcW w:w="1126" w:type="dxa"/>
            <w:tcBorders>
              <w:top w:val="nil"/>
              <w:left w:val="nil"/>
              <w:bottom w:val="nil"/>
              <w:right w:val="nil"/>
            </w:tcBorders>
            <w:shd w:val="clear" w:color="auto" w:fill="auto"/>
            <w:vAlign w:val="center"/>
            <w:hideMark/>
          </w:tcPr>
          <w:p w14:paraId="4DA70FFF" w14:textId="6AF13781"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001" w:type="dxa"/>
            <w:tcBorders>
              <w:top w:val="nil"/>
              <w:left w:val="nil"/>
              <w:bottom w:val="nil"/>
              <w:right w:val="nil"/>
            </w:tcBorders>
            <w:shd w:val="clear" w:color="auto" w:fill="auto"/>
            <w:noWrap/>
            <w:vAlign w:val="center"/>
            <w:hideMark/>
          </w:tcPr>
          <w:p w14:paraId="1D1D8FB1"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10</w:t>
            </w:r>
          </w:p>
        </w:tc>
        <w:tc>
          <w:tcPr>
            <w:tcW w:w="955" w:type="dxa"/>
            <w:tcBorders>
              <w:top w:val="nil"/>
              <w:left w:val="nil"/>
              <w:bottom w:val="nil"/>
              <w:right w:val="nil"/>
            </w:tcBorders>
            <w:shd w:val="clear" w:color="auto" w:fill="auto"/>
            <w:vAlign w:val="center"/>
            <w:hideMark/>
          </w:tcPr>
          <w:p w14:paraId="121E3BEA"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25</w:t>
            </w:r>
          </w:p>
        </w:tc>
        <w:tc>
          <w:tcPr>
            <w:tcW w:w="955" w:type="dxa"/>
            <w:tcBorders>
              <w:top w:val="nil"/>
              <w:left w:val="nil"/>
              <w:bottom w:val="nil"/>
              <w:right w:val="nil"/>
            </w:tcBorders>
            <w:shd w:val="clear" w:color="auto" w:fill="auto"/>
            <w:vAlign w:val="center"/>
            <w:hideMark/>
          </w:tcPr>
          <w:p w14:paraId="2CED45D8"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10</w:t>
            </w:r>
          </w:p>
        </w:tc>
        <w:tc>
          <w:tcPr>
            <w:tcW w:w="955" w:type="dxa"/>
            <w:tcBorders>
              <w:top w:val="nil"/>
              <w:left w:val="nil"/>
              <w:bottom w:val="nil"/>
              <w:right w:val="nil"/>
            </w:tcBorders>
            <w:shd w:val="clear" w:color="auto" w:fill="auto"/>
            <w:vAlign w:val="center"/>
            <w:hideMark/>
          </w:tcPr>
          <w:p w14:paraId="259D2E09"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35</w:t>
            </w:r>
          </w:p>
        </w:tc>
        <w:tc>
          <w:tcPr>
            <w:tcW w:w="967" w:type="dxa"/>
            <w:tcBorders>
              <w:top w:val="nil"/>
              <w:left w:val="nil"/>
              <w:bottom w:val="nil"/>
              <w:right w:val="nil"/>
            </w:tcBorders>
            <w:shd w:val="clear" w:color="auto" w:fill="auto"/>
            <w:noWrap/>
            <w:vAlign w:val="bottom"/>
            <w:hideMark/>
          </w:tcPr>
          <w:p w14:paraId="19FBDC73" w14:textId="78440EF9"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66E379BD" w14:textId="77777777" w:rsidTr="00CB17F0">
        <w:trPr>
          <w:trHeight w:val="300"/>
        </w:trPr>
        <w:tc>
          <w:tcPr>
            <w:tcW w:w="2835" w:type="dxa"/>
            <w:tcBorders>
              <w:top w:val="nil"/>
              <w:left w:val="nil"/>
              <w:bottom w:val="nil"/>
              <w:right w:val="nil"/>
            </w:tcBorders>
            <w:shd w:val="clear" w:color="auto" w:fill="auto"/>
            <w:noWrap/>
            <w:vAlign w:val="center"/>
            <w:hideMark/>
          </w:tcPr>
          <w:p w14:paraId="63205856"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Unknown</w:t>
            </w:r>
          </w:p>
        </w:tc>
        <w:tc>
          <w:tcPr>
            <w:tcW w:w="1126" w:type="dxa"/>
            <w:tcBorders>
              <w:top w:val="nil"/>
              <w:left w:val="nil"/>
              <w:bottom w:val="nil"/>
              <w:right w:val="nil"/>
            </w:tcBorders>
            <w:shd w:val="clear" w:color="auto" w:fill="auto"/>
            <w:vAlign w:val="center"/>
            <w:hideMark/>
          </w:tcPr>
          <w:p w14:paraId="6AE9B6E1" w14:textId="42EB3252"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001" w:type="dxa"/>
            <w:tcBorders>
              <w:top w:val="nil"/>
              <w:left w:val="nil"/>
              <w:bottom w:val="nil"/>
              <w:right w:val="nil"/>
            </w:tcBorders>
            <w:shd w:val="clear" w:color="auto" w:fill="auto"/>
            <w:noWrap/>
            <w:vAlign w:val="center"/>
            <w:hideMark/>
          </w:tcPr>
          <w:p w14:paraId="2319B533" w14:textId="53F64157"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955" w:type="dxa"/>
            <w:tcBorders>
              <w:top w:val="nil"/>
              <w:left w:val="nil"/>
              <w:bottom w:val="nil"/>
              <w:right w:val="nil"/>
            </w:tcBorders>
            <w:shd w:val="clear" w:color="auto" w:fill="auto"/>
            <w:vAlign w:val="center"/>
            <w:hideMark/>
          </w:tcPr>
          <w:p w14:paraId="2C4928E4" w14:textId="2935805F"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955" w:type="dxa"/>
            <w:tcBorders>
              <w:top w:val="nil"/>
              <w:left w:val="nil"/>
              <w:bottom w:val="nil"/>
              <w:right w:val="nil"/>
            </w:tcBorders>
            <w:shd w:val="clear" w:color="auto" w:fill="auto"/>
            <w:vAlign w:val="center"/>
            <w:hideMark/>
          </w:tcPr>
          <w:p w14:paraId="0DB2719F"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27</w:t>
            </w:r>
          </w:p>
        </w:tc>
        <w:tc>
          <w:tcPr>
            <w:tcW w:w="955" w:type="dxa"/>
            <w:tcBorders>
              <w:top w:val="nil"/>
              <w:left w:val="nil"/>
              <w:bottom w:val="nil"/>
              <w:right w:val="nil"/>
            </w:tcBorders>
            <w:shd w:val="clear" w:color="auto" w:fill="auto"/>
            <w:vAlign w:val="center"/>
            <w:hideMark/>
          </w:tcPr>
          <w:p w14:paraId="11BD9C7C"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29</w:t>
            </w:r>
          </w:p>
        </w:tc>
        <w:tc>
          <w:tcPr>
            <w:tcW w:w="967" w:type="dxa"/>
            <w:tcBorders>
              <w:top w:val="nil"/>
              <w:left w:val="nil"/>
              <w:bottom w:val="nil"/>
              <w:right w:val="nil"/>
            </w:tcBorders>
            <w:shd w:val="clear" w:color="auto" w:fill="auto"/>
            <w:noWrap/>
            <w:vAlign w:val="bottom"/>
            <w:hideMark/>
          </w:tcPr>
          <w:p w14:paraId="3228EB9B" w14:textId="304FDF0D"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6AF2F142" w14:textId="77777777" w:rsidTr="00CB17F0">
        <w:trPr>
          <w:trHeight w:val="300"/>
        </w:trPr>
        <w:tc>
          <w:tcPr>
            <w:tcW w:w="2835" w:type="dxa"/>
            <w:tcBorders>
              <w:top w:val="nil"/>
              <w:left w:val="nil"/>
              <w:bottom w:val="nil"/>
              <w:right w:val="nil"/>
            </w:tcBorders>
            <w:shd w:val="clear" w:color="auto" w:fill="auto"/>
            <w:noWrap/>
            <w:vAlign w:val="center"/>
            <w:hideMark/>
          </w:tcPr>
          <w:p w14:paraId="3FC23F19"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Children’s homes</w:t>
            </w:r>
          </w:p>
        </w:tc>
        <w:tc>
          <w:tcPr>
            <w:tcW w:w="1126" w:type="dxa"/>
            <w:tcBorders>
              <w:top w:val="nil"/>
              <w:left w:val="nil"/>
              <w:bottom w:val="nil"/>
              <w:right w:val="nil"/>
            </w:tcBorders>
            <w:shd w:val="clear" w:color="auto" w:fill="auto"/>
            <w:vAlign w:val="center"/>
            <w:hideMark/>
          </w:tcPr>
          <w:p w14:paraId="19FB6A17" w14:textId="048A8738"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1001" w:type="dxa"/>
            <w:tcBorders>
              <w:top w:val="nil"/>
              <w:left w:val="nil"/>
              <w:bottom w:val="nil"/>
              <w:right w:val="nil"/>
            </w:tcBorders>
            <w:shd w:val="clear" w:color="auto" w:fill="auto"/>
            <w:noWrap/>
            <w:vAlign w:val="center"/>
            <w:hideMark/>
          </w:tcPr>
          <w:p w14:paraId="5D21BD2F" w14:textId="5172267E" w:rsidR="00CB17F0" w:rsidRPr="00CB17F0" w:rsidRDefault="0082084C"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955" w:type="dxa"/>
            <w:tcBorders>
              <w:top w:val="nil"/>
              <w:left w:val="nil"/>
              <w:bottom w:val="nil"/>
              <w:right w:val="nil"/>
            </w:tcBorders>
            <w:shd w:val="clear" w:color="auto" w:fill="auto"/>
            <w:vAlign w:val="center"/>
            <w:hideMark/>
          </w:tcPr>
          <w:p w14:paraId="7263A331"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12</w:t>
            </w:r>
          </w:p>
        </w:tc>
        <w:tc>
          <w:tcPr>
            <w:tcW w:w="955" w:type="dxa"/>
            <w:tcBorders>
              <w:top w:val="nil"/>
              <w:left w:val="nil"/>
              <w:bottom w:val="nil"/>
              <w:right w:val="nil"/>
            </w:tcBorders>
            <w:shd w:val="clear" w:color="auto" w:fill="auto"/>
            <w:vAlign w:val="center"/>
            <w:hideMark/>
          </w:tcPr>
          <w:p w14:paraId="737876F3"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w:t>
            </w:r>
          </w:p>
        </w:tc>
        <w:tc>
          <w:tcPr>
            <w:tcW w:w="955" w:type="dxa"/>
            <w:tcBorders>
              <w:top w:val="nil"/>
              <w:left w:val="nil"/>
              <w:bottom w:val="nil"/>
              <w:right w:val="nil"/>
            </w:tcBorders>
            <w:shd w:val="clear" w:color="auto" w:fill="auto"/>
            <w:vAlign w:val="center"/>
            <w:hideMark/>
          </w:tcPr>
          <w:p w14:paraId="6F7834B2"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16</w:t>
            </w:r>
          </w:p>
        </w:tc>
        <w:tc>
          <w:tcPr>
            <w:tcW w:w="967" w:type="dxa"/>
            <w:tcBorders>
              <w:top w:val="nil"/>
              <w:left w:val="nil"/>
              <w:bottom w:val="nil"/>
              <w:right w:val="nil"/>
            </w:tcBorders>
            <w:shd w:val="clear" w:color="auto" w:fill="auto"/>
            <w:noWrap/>
            <w:vAlign w:val="bottom"/>
            <w:hideMark/>
          </w:tcPr>
          <w:p w14:paraId="718A8A92" w14:textId="33612A14"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r w:rsidR="00CB17F0" w:rsidRPr="00CB17F0" w14:paraId="5A7BAAB3" w14:textId="77777777" w:rsidTr="00CB17F0">
        <w:trPr>
          <w:trHeight w:val="300"/>
        </w:trPr>
        <w:tc>
          <w:tcPr>
            <w:tcW w:w="2835" w:type="dxa"/>
            <w:tcBorders>
              <w:top w:val="nil"/>
              <w:left w:val="nil"/>
              <w:bottom w:val="nil"/>
              <w:right w:val="nil"/>
            </w:tcBorders>
            <w:shd w:val="clear" w:color="auto" w:fill="auto"/>
            <w:noWrap/>
            <w:vAlign w:val="center"/>
            <w:hideMark/>
          </w:tcPr>
          <w:p w14:paraId="051E5250" w14:textId="77777777" w:rsidR="00CB17F0" w:rsidRPr="00CB17F0" w:rsidRDefault="00CB17F0" w:rsidP="00CB17F0">
            <w:pPr>
              <w:spacing w:after="0" w:line="240" w:lineRule="auto"/>
              <w:rPr>
                <w:rFonts w:ascii="Calibri" w:eastAsia="Times New Roman" w:hAnsi="Calibri" w:cs="Calibri"/>
                <w:color w:val="000000"/>
                <w:lang w:eastAsia="en-GB"/>
              </w:rPr>
            </w:pPr>
            <w:r w:rsidRPr="00CB17F0">
              <w:rPr>
                <w:rFonts w:ascii="Calibri" w:eastAsia="Times New Roman" w:hAnsi="Calibri" w:cs="Calibri"/>
                <w:color w:val="000000"/>
                <w:lang w:eastAsia="en-GB"/>
              </w:rPr>
              <w:t>Total</w:t>
            </w:r>
          </w:p>
        </w:tc>
        <w:tc>
          <w:tcPr>
            <w:tcW w:w="1126" w:type="dxa"/>
            <w:tcBorders>
              <w:top w:val="nil"/>
              <w:left w:val="nil"/>
              <w:bottom w:val="nil"/>
              <w:right w:val="nil"/>
            </w:tcBorders>
            <w:shd w:val="clear" w:color="auto" w:fill="auto"/>
            <w:vAlign w:val="center"/>
            <w:hideMark/>
          </w:tcPr>
          <w:p w14:paraId="774878BD"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483</w:t>
            </w:r>
          </w:p>
        </w:tc>
        <w:tc>
          <w:tcPr>
            <w:tcW w:w="1001" w:type="dxa"/>
            <w:tcBorders>
              <w:top w:val="nil"/>
              <w:left w:val="nil"/>
              <w:bottom w:val="nil"/>
              <w:right w:val="nil"/>
            </w:tcBorders>
            <w:shd w:val="clear" w:color="auto" w:fill="auto"/>
            <w:vAlign w:val="center"/>
            <w:hideMark/>
          </w:tcPr>
          <w:p w14:paraId="324CD4E9"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728</w:t>
            </w:r>
          </w:p>
        </w:tc>
        <w:tc>
          <w:tcPr>
            <w:tcW w:w="955" w:type="dxa"/>
            <w:tcBorders>
              <w:top w:val="nil"/>
              <w:left w:val="nil"/>
              <w:bottom w:val="nil"/>
              <w:right w:val="nil"/>
            </w:tcBorders>
            <w:shd w:val="clear" w:color="auto" w:fill="auto"/>
            <w:vAlign w:val="center"/>
            <w:hideMark/>
          </w:tcPr>
          <w:p w14:paraId="4890B800"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2125</w:t>
            </w:r>
          </w:p>
        </w:tc>
        <w:tc>
          <w:tcPr>
            <w:tcW w:w="955" w:type="dxa"/>
            <w:tcBorders>
              <w:top w:val="nil"/>
              <w:left w:val="nil"/>
              <w:bottom w:val="nil"/>
              <w:right w:val="nil"/>
            </w:tcBorders>
            <w:shd w:val="clear" w:color="auto" w:fill="auto"/>
            <w:vAlign w:val="center"/>
            <w:hideMark/>
          </w:tcPr>
          <w:p w14:paraId="72EFAB2B"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2305</w:t>
            </w:r>
          </w:p>
        </w:tc>
        <w:tc>
          <w:tcPr>
            <w:tcW w:w="955" w:type="dxa"/>
            <w:tcBorders>
              <w:top w:val="nil"/>
              <w:left w:val="nil"/>
              <w:bottom w:val="nil"/>
              <w:right w:val="nil"/>
            </w:tcBorders>
            <w:shd w:val="clear" w:color="auto" w:fill="auto"/>
            <w:vAlign w:val="center"/>
            <w:hideMark/>
          </w:tcPr>
          <w:p w14:paraId="6F868249" w14:textId="77777777" w:rsidR="00CB17F0" w:rsidRPr="00CB17F0" w:rsidRDefault="00CB17F0" w:rsidP="00CB17F0">
            <w:pPr>
              <w:spacing w:after="0" w:line="240" w:lineRule="auto"/>
              <w:jc w:val="right"/>
              <w:rPr>
                <w:rFonts w:ascii="Calibri" w:eastAsia="Times New Roman" w:hAnsi="Calibri" w:cs="Calibri"/>
                <w:color w:val="000000"/>
                <w:lang w:eastAsia="en-GB"/>
              </w:rPr>
            </w:pPr>
            <w:r w:rsidRPr="00CB17F0">
              <w:rPr>
                <w:rFonts w:ascii="Calibri" w:eastAsia="Times New Roman" w:hAnsi="Calibri" w:cs="Calibri"/>
                <w:color w:val="000000"/>
                <w:lang w:eastAsia="en-GB"/>
              </w:rPr>
              <w:t>4430</w:t>
            </w:r>
          </w:p>
        </w:tc>
        <w:tc>
          <w:tcPr>
            <w:tcW w:w="967" w:type="dxa"/>
            <w:tcBorders>
              <w:top w:val="nil"/>
              <w:left w:val="nil"/>
              <w:bottom w:val="nil"/>
              <w:right w:val="nil"/>
            </w:tcBorders>
            <w:shd w:val="clear" w:color="auto" w:fill="auto"/>
            <w:noWrap/>
            <w:vAlign w:val="bottom"/>
            <w:hideMark/>
          </w:tcPr>
          <w:p w14:paraId="1641197E" w14:textId="24C3B1B4" w:rsidR="00CB17F0" w:rsidRPr="00CB17F0" w:rsidRDefault="006C5C67" w:rsidP="00CB17F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Tbc</w:t>
            </w:r>
          </w:p>
        </w:tc>
      </w:tr>
    </w:tbl>
    <w:p w14:paraId="4C149E2D" w14:textId="77777777" w:rsidR="00CB17F0" w:rsidRDefault="00CB17F0" w:rsidP="00F60670">
      <w:pPr>
        <w:spacing w:after="0"/>
        <w:rPr>
          <w:rFonts w:cstheme="minorHAnsi"/>
        </w:rPr>
      </w:pPr>
    </w:p>
    <w:p w14:paraId="5799CF79" w14:textId="3E9D68D1" w:rsidR="00AA110F" w:rsidRPr="00AA110F" w:rsidRDefault="0082084C" w:rsidP="002B1876">
      <w:pPr>
        <w:spacing w:after="0"/>
        <w:rPr>
          <w:bCs/>
        </w:rPr>
      </w:pPr>
      <w:r>
        <w:rPr>
          <w:bCs/>
        </w:rPr>
        <w:t xml:space="preserve">Small cell sizes have been suppressed. </w:t>
      </w:r>
      <w:r w:rsidR="00AA110F">
        <w:rPr>
          <w:bCs/>
        </w:rPr>
        <w:t xml:space="preserve">For context, </w:t>
      </w:r>
      <w:r w:rsidR="007D4A4D">
        <w:rPr>
          <w:bCs/>
        </w:rPr>
        <w:t>A</w:t>
      </w:r>
      <w:r w:rsidR="00727059">
        <w:rPr>
          <w:bCs/>
        </w:rPr>
        <w:t>ppendi</w:t>
      </w:r>
      <w:r w:rsidR="007D4A4D">
        <w:rPr>
          <w:bCs/>
        </w:rPr>
        <w:t xml:space="preserve">x </w:t>
      </w:r>
      <w:r w:rsidR="00727059">
        <w:rPr>
          <w:bCs/>
        </w:rPr>
        <w:t>D</w:t>
      </w:r>
      <w:r w:rsidR="007D4A4D">
        <w:rPr>
          <w:bCs/>
        </w:rPr>
        <w:t xml:space="preserve"> </w:t>
      </w:r>
      <w:r w:rsidR="00AA110F">
        <w:rPr>
          <w:bCs/>
        </w:rPr>
        <w:t xml:space="preserve">Table </w:t>
      </w:r>
      <w:r w:rsidR="00727059">
        <w:rPr>
          <w:bCs/>
        </w:rPr>
        <w:t>D</w:t>
      </w:r>
      <w:r w:rsidR="00AA110F">
        <w:rPr>
          <w:bCs/>
        </w:rPr>
        <w:t>3 shows the counts, estimates and adjustments made in large CEs in 2011.</w:t>
      </w:r>
    </w:p>
    <w:p w14:paraId="56870B4C" w14:textId="15C93ACE" w:rsidR="00AA110F" w:rsidRDefault="00AA110F" w:rsidP="002B1876">
      <w:pPr>
        <w:spacing w:after="0"/>
        <w:rPr>
          <w:b/>
        </w:rPr>
      </w:pPr>
    </w:p>
    <w:p w14:paraId="63E19C4B" w14:textId="77777777" w:rsidR="00AA110F" w:rsidRDefault="00AA110F" w:rsidP="002B1876">
      <w:pPr>
        <w:spacing w:after="0"/>
        <w:rPr>
          <w:b/>
        </w:rPr>
      </w:pPr>
    </w:p>
    <w:p w14:paraId="12C54887" w14:textId="77777777" w:rsidR="002B1876" w:rsidRPr="003D3659" w:rsidRDefault="002B1876" w:rsidP="002B1876">
      <w:pPr>
        <w:spacing w:after="0"/>
        <w:rPr>
          <w:rFonts w:cstheme="minorHAnsi"/>
          <w:b/>
          <w:bCs/>
          <w:i/>
          <w:iCs/>
        </w:rPr>
      </w:pPr>
      <w:r w:rsidRPr="003D3659">
        <w:rPr>
          <w:rFonts w:cstheme="minorHAnsi"/>
          <w:b/>
          <w:bCs/>
          <w:i/>
          <w:iCs/>
        </w:rPr>
        <w:t>Prioritisation for investigating and adjusting</w:t>
      </w:r>
    </w:p>
    <w:p w14:paraId="357C1446" w14:textId="77777777" w:rsidR="002B1876" w:rsidRDefault="002B1876" w:rsidP="002B1876">
      <w:pPr>
        <w:spacing w:after="0"/>
        <w:rPr>
          <w:rFonts w:cstheme="minorHAnsi"/>
        </w:rPr>
      </w:pPr>
      <w:r>
        <w:rPr>
          <w:rFonts w:cstheme="minorHAnsi"/>
        </w:rPr>
        <w:t>I</w:t>
      </w:r>
      <w:r w:rsidRPr="003A7ACD">
        <w:rPr>
          <w:rFonts w:cstheme="minorHAnsi"/>
        </w:rPr>
        <w:t>n 2011</w:t>
      </w:r>
      <w:r>
        <w:rPr>
          <w:rFonts w:cstheme="minorHAnsi"/>
        </w:rPr>
        <w:t>, we</w:t>
      </w:r>
      <w:r w:rsidRPr="003A7ACD">
        <w:rPr>
          <w:rFonts w:cstheme="minorHAnsi"/>
        </w:rPr>
        <w:t xml:space="preserve"> prioritised</w:t>
      </w:r>
      <w:r>
        <w:rPr>
          <w:rFonts w:cstheme="minorHAnsi"/>
        </w:rPr>
        <w:t xml:space="preserve"> which</w:t>
      </w:r>
      <w:r w:rsidRPr="003A7ACD">
        <w:rPr>
          <w:rFonts w:cstheme="minorHAnsi"/>
        </w:rPr>
        <w:t xml:space="preserve"> CEs to </w:t>
      </w:r>
      <w:r>
        <w:rPr>
          <w:rFonts w:cstheme="minorHAnsi"/>
        </w:rPr>
        <w:t xml:space="preserve">investigate, and to </w:t>
      </w:r>
      <w:r w:rsidRPr="003A7ACD">
        <w:rPr>
          <w:rFonts w:cstheme="minorHAnsi"/>
        </w:rPr>
        <w:t xml:space="preserve">add to, based on </w:t>
      </w:r>
      <w:r>
        <w:rPr>
          <w:rFonts w:cstheme="minorHAnsi"/>
        </w:rPr>
        <w:t xml:space="preserve">the percentage of </w:t>
      </w:r>
      <w:r w:rsidRPr="003A7ACD">
        <w:rPr>
          <w:rFonts w:cstheme="minorHAnsi"/>
        </w:rPr>
        <w:t>returns received</w:t>
      </w:r>
      <w:r>
        <w:rPr>
          <w:rFonts w:cstheme="minorHAnsi"/>
        </w:rPr>
        <w:t xml:space="preserve"> (if we received fewer than 75%)</w:t>
      </w:r>
      <w:r w:rsidRPr="003A7ACD">
        <w:rPr>
          <w:rFonts w:cstheme="minorHAnsi"/>
        </w:rPr>
        <w:t xml:space="preserve">, and </w:t>
      </w:r>
      <w:r>
        <w:rPr>
          <w:rFonts w:cstheme="minorHAnsi"/>
        </w:rPr>
        <w:t>the number</w:t>
      </w:r>
      <w:r w:rsidRPr="003A7ACD">
        <w:rPr>
          <w:rFonts w:cstheme="minorHAnsi"/>
        </w:rPr>
        <w:t xml:space="preserve"> received</w:t>
      </w:r>
      <w:r>
        <w:rPr>
          <w:rFonts w:cstheme="minorHAnsi"/>
        </w:rPr>
        <w:t xml:space="preserve"> (if we were more than 50 short of those issued, and when we had an alternative figure, if that was 50+ higher than the number received).</w:t>
      </w:r>
      <w:r w:rsidRPr="003A7ACD">
        <w:rPr>
          <w:rFonts w:cstheme="minorHAnsi"/>
        </w:rPr>
        <w:t xml:space="preserve"> </w:t>
      </w:r>
      <w:r>
        <w:rPr>
          <w:rFonts w:cstheme="minorHAnsi"/>
        </w:rPr>
        <w:t>In most cases, we p</w:t>
      </w:r>
      <w:r w:rsidRPr="003A7ACD">
        <w:rPr>
          <w:rFonts w:cstheme="minorHAnsi"/>
        </w:rPr>
        <w:t>honed up the establishments to get their estimate of residents</w:t>
      </w:r>
      <w:r>
        <w:rPr>
          <w:rFonts w:cstheme="minorHAnsi"/>
        </w:rPr>
        <w:t>, and in some we used the available administrative comparator data</w:t>
      </w:r>
      <w:r w:rsidRPr="003A7ACD">
        <w:rPr>
          <w:rFonts w:cstheme="minorHAnsi"/>
        </w:rPr>
        <w:t>.</w:t>
      </w:r>
      <w:r>
        <w:rPr>
          <w:rFonts w:cstheme="minorHAnsi"/>
        </w:rPr>
        <w:t xml:space="preserve"> More detail is available in </w:t>
      </w:r>
      <w:proofErr w:type="gramStart"/>
      <w:r>
        <w:rPr>
          <w:rFonts w:cstheme="minorHAnsi"/>
        </w:rPr>
        <w:t>ONS(</w:t>
      </w:r>
      <w:proofErr w:type="gramEnd"/>
      <w:r>
        <w:rPr>
          <w:rFonts w:cstheme="minorHAnsi"/>
        </w:rPr>
        <w:t>2012).</w:t>
      </w:r>
    </w:p>
    <w:p w14:paraId="742281DD" w14:textId="77777777" w:rsidR="002B1876" w:rsidRDefault="002B1876" w:rsidP="002B1876">
      <w:pPr>
        <w:spacing w:after="0"/>
        <w:rPr>
          <w:rFonts w:cstheme="minorHAnsi"/>
        </w:rPr>
      </w:pPr>
    </w:p>
    <w:p w14:paraId="6ADD0394" w14:textId="578377D8" w:rsidR="002B1876" w:rsidRDefault="002B1876" w:rsidP="002B1876">
      <w:pPr>
        <w:spacing w:after="0"/>
        <w:rPr>
          <w:rFonts w:cstheme="minorHAnsi"/>
        </w:rPr>
      </w:pPr>
      <w:r>
        <w:rPr>
          <w:rFonts w:cstheme="minorHAnsi"/>
        </w:rPr>
        <w:t>We are planning to re</w:t>
      </w:r>
      <w:r w:rsidRPr="003A7ACD">
        <w:rPr>
          <w:rFonts w:cstheme="minorHAnsi"/>
        </w:rPr>
        <w:t>-evaluat</w:t>
      </w:r>
      <w:r>
        <w:rPr>
          <w:rFonts w:cstheme="minorHAnsi"/>
        </w:rPr>
        <w:t>e</w:t>
      </w:r>
      <w:r w:rsidRPr="003A7ACD">
        <w:rPr>
          <w:rFonts w:cstheme="minorHAnsi"/>
        </w:rPr>
        <w:t xml:space="preserve"> the prioritisation done in 2011 – </w:t>
      </w:r>
      <w:r>
        <w:rPr>
          <w:rFonts w:cstheme="minorHAnsi"/>
        </w:rPr>
        <w:t xml:space="preserve">the </w:t>
      </w:r>
      <w:r w:rsidRPr="003A7ACD">
        <w:rPr>
          <w:rFonts w:cstheme="minorHAnsi"/>
        </w:rPr>
        <w:t>arbitrary cut-off 75% of expected returns</w:t>
      </w:r>
      <w:r>
        <w:rPr>
          <w:rFonts w:cstheme="minorHAnsi"/>
        </w:rPr>
        <w:t>, or 50 deficit thresholds. In the first instance this will be done by re-examining the 2011 data, but we will also make the assessment based on the live 2021 situation.</w:t>
      </w:r>
      <w:r w:rsidR="00F82ADB">
        <w:rPr>
          <w:rFonts w:cstheme="minorHAnsi"/>
        </w:rPr>
        <w:t xml:space="preserve"> In 2021 there will be more information more readily available about the collection operation from the electronic Response Management and Fieldwork Management Tool that should feed into this.</w:t>
      </w:r>
    </w:p>
    <w:p w14:paraId="33BED7AC" w14:textId="3B64A6B8" w:rsidR="00F82ADB" w:rsidRDefault="00F82ADB" w:rsidP="002B1876">
      <w:pPr>
        <w:spacing w:after="0"/>
        <w:rPr>
          <w:rFonts w:cstheme="minorHAnsi"/>
        </w:rPr>
      </w:pPr>
    </w:p>
    <w:p w14:paraId="1AC94D45" w14:textId="3BDBE3E4" w:rsidR="00F82ADB" w:rsidRDefault="007D4A4D" w:rsidP="002B1876">
      <w:pPr>
        <w:spacing w:after="0"/>
        <w:rPr>
          <w:rFonts w:cstheme="minorHAnsi"/>
        </w:rPr>
      </w:pPr>
      <w:r>
        <w:rPr>
          <w:rFonts w:cstheme="minorHAnsi"/>
        </w:rPr>
        <w:t>A</w:t>
      </w:r>
      <w:r w:rsidR="00727059">
        <w:rPr>
          <w:rFonts w:cstheme="minorHAnsi"/>
        </w:rPr>
        <w:t>ppendi</w:t>
      </w:r>
      <w:r>
        <w:rPr>
          <w:rFonts w:cstheme="minorHAnsi"/>
        </w:rPr>
        <w:t xml:space="preserve">x </w:t>
      </w:r>
      <w:r w:rsidR="00727059">
        <w:rPr>
          <w:rFonts w:cstheme="minorHAnsi"/>
        </w:rPr>
        <w:t>D</w:t>
      </w:r>
      <w:r>
        <w:rPr>
          <w:rFonts w:cstheme="minorHAnsi"/>
        </w:rPr>
        <w:t xml:space="preserve"> </w:t>
      </w:r>
      <w:r w:rsidR="00F82ADB">
        <w:rPr>
          <w:rFonts w:cstheme="minorHAnsi"/>
        </w:rPr>
        <w:t xml:space="preserve">Table </w:t>
      </w:r>
      <w:r w:rsidR="00727059">
        <w:rPr>
          <w:rFonts w:cstheme="minorHAnsi"/>
        </w:rPr>
        <w:t>D</w:t>
      </w:r>
      <w:r w:rsidR="00F82ADB">
        <w:rPr>
          <w:rFonts w:cstheme="minorHAnsi"/>
        </w:rPr>
        <w:t xml:space="preserve">4 shows the breakdown of large CE resolution in 2011: although there was </w:t>
      </w:r>
      <w:r w:rsidR="00727059">
        <w:rPr>
          <w:rFonts w:cstheme="minorHAnsi"/>
        </w:rPr>
        <w:t xml:space="preserve">some </w:t>
      </w:r>
      <w:r w:rsidR="00F82ADB">
        <w:rPr>
          <w:rFonts w:cstheme="minorHAnsi"/>
        </w:rPr>
        <w:t xml:space="preserve">indication of undercount in </w:t>
      </w:r>
      <w:r w:rsidR="00727059">
        <w:rPr>
          <w:rFonts w:cstheme="minorHAnsi"/>
        </w:rPr>
        <w:t>all</w:t>
      </w:r>
      <w:r w:rsidR="00F82ADB">
        <w:rPr>
          <w:rFonts w:cstheme="minorHAnsi"/>
        </w:rPr>
        <w:t xml:space="preserve"> of these, there wasn’t the evidence to back up an adjustment</w:t>
      </w:r>
      <w:r w:rsidR="00727059">
        <w:rPr>
          <w:rFonts w:cstheme="minorHAnsi"/>
        </w:rPr>
        <w:t xml:space="preserve"> in all of them: 31% of those investigated had no adjustment applied</w:t>
      </w:r>
      <w:r w:rsidR="00F82ADB">
        <w:rPr>
          <w:rFonts w:cstheme="minorHAnsi"/>
        </w:rPr>
        <w:t>.</w:t>
      </w:r>
      <w:r w:rsidR="003D3659">
        <w:rPr>
          <w:rFonts w:cstheme="minorHAnsi"/>
        </w:rPr>
        <w:t xml:space="preserve"> This will be investigated further</w:t>
      </w:r>
      <w:r w:rsidR="008129D2">
        <w:rPr>
          <w:rFonts w:cstheme="minorHAnsi"/>
        </w:rPr>
        <w:t>, but it is likely to be due to an assessment of the definitional differences in the sources</w:t>
      </w:r>
      <w:r w:rsidR="003D3659">
        <w:rPr>
          <w:rFonts w:cstheme="minorHAnsi"/>
        </w:rPr>
        <w:t>.</w:t>
      </w:r>
    </w:p>
    <w:p w14:paraId="79C85BCC" w14:textId="1676ABCE" w:rsidR="00F82ADB" w:rsidRDefault="00F82ADB" w:rsidP="002B1876">
      <w:pPr>
        <w:spacing w:after="0"/>
        <w:rPr>
          <w:rFonts w:cstheme="minorHAnsi"/>
        </w:rPr>
      </w:pPr>
    </w:p>
    <w:p w14:paraId="61A9B9B4" w14:textId="77777777" w:rsidR="00F82ADB" w:rsidRDefault="00F82ADB" w:rsidP="002B1876">
      <w:pPr>
        <w:spacing w:after="0"/>
        <w:rPr>
          <w:rFonts w:cstheme="minorHAnsi"/>
        </w:rPr>
      </w:pPr>
    </w:p>
    <w:p w14:paraId="117546B9" w14:textId="5B26F1FC" w:rsidR="00F82ADB" w:rsidRDefault="00F82ADB" w:rsidP="002B1876">
      <w:pPr>
        <w:spacing w:after="0"/>
        <w:rPr>
          <w:rFonts w:cstheme="minorHAnsi"/>
        </w:rPr>
      </w:pPr>
    </w:p>
    <w:p w14:paraId="4646E043" w14:textId="307BD67A" w:rsidR="003D3659" w:rsidRPr="003D3659" w:rsidRDefault="003D3659" w:rsidP="003D3659">
      <w:pPr>
        <w:spacing w:after="0"/>
        <w:rPr>
          <w:rFonts w:cstheme="minorHAnsi"/>
          <w:b/>
          <w:bCs/>
          <w:i/>
          <w:iCs/>
        </w:rPr>
      </w:pPr>
      <w:r w:rsidRPr="003D3659">
        <w:rPr>
          <w:rFonts w:cstheme="minorHAnsi"/>
          <w:b/>
          <w:bCs/>
          <w:i/>
          <w:iCs/>
        </w:rPr>
        <w:t>Use of alternative sources to estimate large CE population</w:t>
      </w:r>
    </w:p>
    <w:p w14:paraId="0AAB5FDB" w14:textId="3DC75E53" w:rsidR="00FF48B2" w:rsidRDefault="00F60670" w:rsidP="00F60670">
      <w:pPr>
        <w:spacing w:after="0"/>
        <w:rPr>
          <w:rFonts w:cstheme="minorHAnsi"/>
        </w:rPr>
      </w:pPr>
      <w:r w:rsidRPr="003A7ACD">
        <w:rPr>
          <w:rFonts w:cstheme="minorHAnsi"/>
        </w:rPr>
        <w:t xml:space="preserve">For 2021, </w:t>
      </w:r>
      <w:r w:rsidR="00703B58">
        <w:rPr>
          <w:rFonts w:cstheme="minorHAnsi"/>
        </w:rPr>
        <w:t xml:space="preserve">we are </w:t>
      </w:r>
      <w:r w:rsidRPr="003A7ACD">
        <w:rPr>
          <w:rFonts w:cstheme="minorHAnsi"/>
        </w:rPr>
        <w:t xml:space="preserve">investigating how well administrative sources cover the </w:t>
      </w:r>
      <w:r w:rsidR="00FF48B2" w:rsidRPr="003A7ACD">
        <w:rPr>
          <w:rFonts w:cstheme="minorHAnsi"/>
        </w:rPr>
        <w:t>establishments</w:t>
      </w:r>
      <w:r w:rsidR="00703B58">
        <w:rPr>
          <w:rFonts w:cstheme="minorHAnsi"/>
        </w:rPr>
        <w:t>. If we can’t get appropriate sources our c</w:t>
      </w:r>
      <w:r w:rsidR="000106F9">
        <w:rPr>
          <w:rFonts w:cstheme="minorHAnsi"/>
        </w:rPr>
        <w:t>o</w:t>
      </w:r>
      <w:r w:rsidR="00FF48B2" w:rsidRPr="003A7ACD">
        <w:rPr>
          <w:rFonts w:cstheme="minorHAnsi"/>
        </w:rPr>
        <w:t>ntingency plan is to ask CE managers for their count of residents</w:t>
      </w:r>
      <w:r w:rsidR="00703B58">
        <w:rPr>
          <w:rFonts w:cstheme="minorHAnsi"/>
        </w:rPr>
        <w:t xml:space="preserve">, or to </w:t>
      </w:r>
      <w:r w:rsidR="00703B58">
        <w:rPr>
          <w:rFonts w:cstheme="minorHAnsi"/>
        </w:rPr>
        <w:lastRenderedPageBreak/>
        <w:t>phone the establishments ourselves as we did in 2011.</w:t>
      </w:r>
      <w:r w:rsidR="000106F9">
        <w:rPr>
          <w:rFonts w:cstheme="minorHAnsi"/>
        </w:rPr>
        <w:t xml:space="preserve"> </w:t>
      </w:r>
      <w:r w:rsidR="00AA3A32">
        <w:rPr>
          <w:rFonts w:cstheme="minorHAnsi"/>
        </w:rPr>
        <w:t xml:space="preserve">Table </w:t>
      </w:r>
      <w:r w:rsidR="007D4A4D">
        <w:rPr>
          <w:rFonts w:cstheme="minorHAnsi"/>
        </w:rPr>
        <w:t>3</w:t>
      </w:r>
      <w:r w:rsidR="000106F9">
        <w:rPr>
          <w:rFonts w:cstheme="minorHAnsi"/>
        </w:rPr>
        <w:t xml:space="preserve"> lists the types of establishments and potential data sources we are pursuing.</w:t>
      </w:r>
      <w:r w:rsidR="006C7B25">
        <w:rPr>
          <w:rFonts w:cstheme="minorHAnsi"/>
        </w:rPr>
        <w:t xml:space="preserve"> This work is still in progress.</w:t>
      </w:r>
    </w:p>
    <w:p w14:paraId="5D881DB4" w14:textId="49E877F4" w:rsidR="00AA3A32" w:rsidRDefault="00AA3A32" w:rsidP="00F60670">
      <w:pPr>
        <w:spacing w:after="0"/>
        <w:rPr>
          <w:rFonts w:cstheme="minorHAnsi"/>
        </w:rPr>
      </w:pPr>
    </w:p>
    <w:p w14:paraId="725EE662" w14:textId="0D14C901" w:rsidR="00AA3A32" w:rsidRPr="00AA3A32" w:rsidRDefault="00AA3A32" w:rsidP="00AA3A32">
      <w:pPr>
        <w:spacing w:after="0"/>
        <w:rPr>
          <w:rFonts w:cstheme="minorHAnsi"/>
          <w:b/>
          <w:bCs/>
        </w:rPr>
      </w:pPr>
      <w:r w:rsidRPr="00AA3A32">
        <w:rPr>
          <w:rFonts w:cstheme="minorHAnsi"/>
          <w:b/>
          <w:bCs/>
        </w:rPr>
        <w:t xml:space="preserve">Table </w:t>
      </w:r>
      <w:r w:rsidR="007D4A4D">
        <w:rPr>
          <w:rFonts w:cstheme="minorHAnsi"/>
          <w:b/>
          <w:bCs/>
        </w:rPr>
        <w:t>3</w:t>
      </w:r>
      <w:r w:rsidR="00AA110F">
        <w:rPr>
          <w:rFonts w:cstheme="minorHAnsi"/>
          <w:b/>
          <w:bCs/>
        </w:rPr>
        <w:t>:</w:t>
      </w:r>
      <w:r w:rsidRPr="00AA3A32">
        <w:rPr>
          <w:rFonts w:cstheme="minorHAnsi"/>
          <w:b/>
          <w:bCs/>
        </w:rPr>
        <w:t xml:space="preserve"> Type of establishment v </w:t>
      </w:r>
      <w:r>
        <w:rPr>
          <w:rFonts w:cstheme="minorHAnsi"/>
          <w:b/>
          <w:bCs/>
        </w:rPr>
        <w:t xml:space="preserve">admin </w:t>
      </w:r>
      <w:r w:rsidRPr="00AA3A32">
        <w:rPr>
          <w:rFonts w:cstheme="minorHAnsi"/>
          <w:b/>
          <w:bCs/>
        </w:rPr>
        <w:t>source</w:t>
      </w:r>
      <w:r w:rsidR="007D4A4D">
        <w:rPr>
          <w:rStyle w:val="FootnoteReference"/>
          <w:rFonts w:cstheme="minorHAnsi"/>
          <w:b/>
          <w:bCs/>
        </w:rPr>
        <w:footnoteReference w:id="2"/>
      </w:r>
    </w:p>
    <w:tbl>
      <w:tblPr>
        <w:tblStyle w:val="TableGrid"/>
        <w:tblW w:w="8926" w:type="dxa"/>
        <w:tblLook w:val="04A0" w:firstRow="1" w:lastRow="0" w:firstColumn="1" w:lastColumn="0" w:noHBand="0" w:noVBand="1"/>
      </w:tblPr>
      <w:tblGrid>
        <w:gridCol w:w="2122"/>
        <w:gridCol w:w="2268"/>
        <w:gridCol w:w="4536"/>
      </w:tblGrid>
      <w:tr w:rsidR="00AA3A32" w14:paraId="4D0494B0" w14:textId="77777777" w:rsidTr="00AA110F">
        <w:tc>
          <w:tcPr>
            <w:tcW w:w="2122" w:type="dxa"/>
          </w:tcPr>
          <w:p w14:paraId="03D5D86C" w14:textId="77777777" w:rsidR="00AA3A32" w:rsidRPr="00AA110F" w:rsidRDefault="00AA3A32" w:rsidP="007473D7">
            <w:pPr>
              <w:rPr>
                <w:rFonts w:cstheme="minorHAnsi"/>
                <w:b/>
                <w:bCs/>
              </w:rPr>
            </w:pPr>
            <w:r w:rsidRPr="00AA110F">
              <w:rPr>
                <w:rFonts w:cstheme="minorHAnsi"/>
                <w:b/>
                <w:bCs/>
              </w:rPr>
              <w:t>type</w:t>
            </w:r>
          </w:p>
        </w:tc>
        <w:tc>
          <w:tcPr>
            <w:tcW w:w="2268" w:type="dxa"/>
          </w:tcPr>
          <w:p w14:paraId="3DDC4DBF" w14:textId="0DC4D5F4" w:rsidR="00AA3A32" w:rsidRPr="00AA110F" w:rsidRDefault="007D4A4D" w:rsidP="007473D7">
            <w:pPr>
              <w:rPr>
                <w:rFonts w:cstheme="minorHAnsi"/>
                <w:b/>
                <w:bCs/>
              </w:rPr>
            </w:pPr>
            <w:r>
              <w:rPr>
                <w:rFonts w:cstheme="minorHAnsi"/>
                <w:b/>
                <w:bCs/>
              </w:rPr>
              <w:t>Potential data sources</w:t>
            </w:r>
          </w:p>
        </w:tc>
        <w:tc>
          <w:tcPr>
            <w:tcW w:w="4536" w:type="dxa"/>
          </w:tcPr>
          <w:p w14:paraId="479F802A" w14:textId="6E384003" w:rsidR="00AA3A32" w:rsidRPr="00AA110F" w:rsidRDefault="00AA3A32" w:rsidP="007473D7">
            <w:pPr>
              <w:rPr>
                <w:rFonts w:cstheme="minorHAnsi"/>
                <w:b/>
                <w:bCs/>
              </w:rPr>
            </w:pPr>
            <w:r w:rsidRPr="00AA110F">
              <w:rPr>
                <w:rFonts w:cstheme="minorHAnsi"/>
                <w:b/>
                <w:bCs/>
              </w:rPr>
              <w:t>Comments</w:t>
            </w:r>
            <w:r w:rsidR="00724F05">
              <w:rPr>
                <w:rFonts w:cstheme="minorHAnsi"/>
                <w:b/>
                <w:bCs/>
              </w:rPr>
              <w:t xml:space="preserve"> / work in progress</w:t>
            </w:r>
          </w:p>
        </w:tc>
      </w:tr>
      <w:tr w:rsidR="00AA3A32" w14:paraId="392C98BF" w14:textId="77777777" w:rsidTr="00AA110F">
        <w:tc>
          <w:tcPr>
            <w:tcW w:w="2122" w:type="dxa"/>
          </w:tcPr>
          <w:p w14:paraId="43C8FE14" w14:textId="219C77FF" w:rsidR="00AA3A32" w:rsidRDefault="00AA3A32" w:rsidP="007473D7">
            <w:pPr>
              <w:rPr>
                <w:rFonts w:cstheme="minorHAnsi"/>
              </w:rPr>
            </w:pPr>
            <w:r>
              <w:rPr>
                <w:rFonts w:cstheme="minorHAnsi"/>
              </w:rPr>
              <w:t>Care homes</w:t>
            </w:r>
          </w:p>
          <w:p w14:paraId="0AB44124" w14:textId="77777777" w:rsidR="007D4A4D" w:rsidRDefault="007D4A4D" w:rsidP="007473D7">
            <w:pPr>
              <w:rPr>
                <w:rFonts w:cstheme="minorHAnsi"/>
              </w:rPr>
            </w:pPr>
          </w:p>
          <w:p w14:paraId="10C80C73" w14:textId="4033AAD7" w:rsidR="00AA3A32" w:rsidRDefault="00AA3A32" w:rsidP="007473D7">
            <w:pPr>
              <w:rPr>
                <w:rFonts w:cstheme="minorHAnsi"/>
              </w:rPr>
            </w:pPr>
            <w:r>
              <w:rPr>
                <w:rFonts w:cstheme="minorHAnsi"/>
              </w:rPr>
              <w:t>Other medical establishments</w:t>
            </w:r>
          </w:p>
          <w:p w14:paraId="192DCCC1" w14:textId="77777777" w:rsidR="007D4A4D" w:rsidRDefault="007D4A4D" w:rsidP="007473D7">
            <w:pPr>
              <w:rPr>
                <w:rFonts w:cstheme="minorHAnsi"/>
              </w:rPr>
            </w:pPr>
          </w:p>
          <w:p w14:paraId="659260AE" w14:textId="77777777" w:rsidR="00AA3A32" w:rsidRDefault="00AA3A32" w:rsidP="007473D7">
            <w:pPr>
              <w:rPr>
                <w:rFonts w:cstheme="minorHAnsi"/>
              </w:rPr>
            </w:pPr>
            <w:r>
              <w:rPr>
                <w:rFonts w:cstheme="minorHAnsi"/>
              </w:rPr>
              <w:t>Children’s care homes</w:t>
            </w:r>
          </w:p>
        </w:tc>
        <w:tc>
          <w:tcPr>
            <w:tcW w:w="2268" w:type="dxa"/>
          </w:tcPr>
          <w:p w14:paraId="3B93E94C" w14:textId="236E2F3E" w:rsidR="00AA3A32" w:rsidRDefault="00AA110F" w:rsidP="007473D7">
            <w:pPr>
              <w:rPr>
                <w:rFonts w:cstheme="minorHAnsi"/>
              </w:rPr>
            </w:pPr>
            <w:r>
              <w:rPr>
                <w:rFonts w:cstheme="minorHAnsi"/>
              </w:rPr>
              <w:t>NHS Personal Demographic Service (</w:t>
            </w:r>
            <w:r w:rsidR="00AA3A32">
              <w:rPr>
                <w:rFonts w:cstheme="minorHAnsi"/>
              </w:rPr>
              <w:t>PDS</w:t>
            </w:r>
            <w:r>
              <w:rPr>
                <w:rFonts w:cstheme="minorHAnsi"/>
              </w:rPr>
              <w:t>)</w:t>
            </w:r>
          </w:p>
          <w:p w14:paraId="55171B6A" w14:textId="72838CB1" w:rsidR="00AA110F" w:rsidRDefault="00AA110F" w:rsidP="007473D7">
            <w:pPr>
              <w:rPr>
                <w:rFonts w:cstheme="minorHAnsi"/>
              </w:rPr>
            </w:pPr>
          </w:p>
          <w:p w14:paraId="1939E066" w14:textId="77777777" w:rsidR="00AA3A32" w:rsidRDefault="00AA110F" w:rsidP="00AA110F">
            <w:pPr>
              <w:rPr>
                <w:rFonts w:cstheme="minorHAnsi"/>
              </w:rPr>
            </w:pPr>
            <w:r>
              <w:rPr>
                <w:rFonts w:cstheme="minorHAnsi"/>
              </w:rPr>
              <w:t>Care Quality Commission (CQC), Care Inspectorate Wales (</w:t>
            </w:r>
            <w:r w:rsidR="00AA3A32">
              <w:rPr>
                <w:rFonts w:cstheme="minorHAnsi"/>
              </w:rPr>
              <w:t>CIW</w:t>
            </w:r>
            <w:r>
              <w:rPr>
                <w:rFonts w:cstheme="minorHAnsi"/>
              </w:rPr>
              <w:t>)</w:t>
            </w:r>
          </w:p>
          <w:p w14:paraId="3469ECA4" w14:textId="20E6C795" w:rsidR="00AA110F" w:rsidRDefault="00AA110F" w:rsidP="00AA110F">
            <w:pPr>
              <w:rPr>
                <w:rFonts w:cstheme="minorHAnsi"/>
              </w:rPr>
            </w:pPr>
            <w:r>
              <w:rPr>
                <w:rFonts w:cstheme="minorHAnsi"/>
              </w:rPr>
              <w:t>Public Health England (PHE</w:t>
            </w:r>
            <w:r w:rsidR="0090555D">
              <w:rPr>
                <w:rFonts w:cstheme="minorHAnsi"/>
              </w:rPr>
              <w:t>)</w:t>
            </w:r>
          </w:p>
        </w:tc>
        <w:tc>
          <w:tcPr>
            <w:tcW w:w="4536" w:type="dxa"/>
          </w:tcPr>
          <w:p w14:paraId="5EA815DC" w14:textId="77777777" w:rsidR="00AA3A32" w:rsidRDefault="00AA3A32" w:rsidP="007473D7">
            <w:pPr>
              <w:rPr>
                <w:rFonts w:cstheme="minorHAnsi"/>
              </w:rPr>
            </w:pPr>
            <w:r>
              <w:rPr>
                <w:rFonts w:cstheme="minorHAnsi"/>
              </w:rPr>
              <w:t>We know there are issues with patient data and care homes, from when people go into hospital and stay a long time, or die there – where does death registration note them as living, does it link up with PDS record if that’s still at care home?</w:t>
            </w:r>
          </w:p>
          <w:p w14:paraId="715B814B" w14:textId="561E90EE" w:rsidR="00AA3A32" w:rsidRDefault="00AA3A32" w:rsidP="007473D7">
            <w:pPr>
              <w:rPr>
                <w:rFonts w:cstheme="minorHAnsi"/>
              </w:rPr>
            </w:pPr>
            <w:r>
              <w:rPr>
                <w:rFonts w:cstheme="minorHAnsi"/>
              </w:rPr>
              <w:t>What if PDS</w:t>
            </w:r>
            <w:r w:rsidR="00724F05">
              <w:rPr>
                <w:rFonts w:cstheme="minorHAnsi"/>
              </w:rPr>
              <w:t xml:space="preserve"> record</w:t>
            </w:r>
            <w:r>
              <w:rPr>
                <w:rFonts w:cstheme="minorHAnsi"/>
              </w:rPr>
              <w:t xml:space="preserve"> at family home rather than care home?</w:t>
            </w:r>
          </w:p>
          <w:p w14:paraId="5A34DDC4" w14:textId="120B15F3" w:rsidR="00AA3A32" w:rsidRDefault="00AA3A32" w:rsidP="007473D7">
            <w:pPr>
              <w:rPr>
                <w:rFonts w:cstheme="minorHAnsi"/>
              </w:rPr>
            </w:pPr>
            <w:r>
              <w:rPr>
                <w:rFonts w:cstheme="minorHAnsi"/>
              </w:rPr>
              <w:t>CQS,</w:t>
            </w:r>
            <w:r w:rsidR="0090555D">
              <w:rPr>
                <w:rFonts w:cstheme="minorHAnsi"/>
              </w:rPr>
              <w:t xml:space="preserve"> </w:t>
            </w:r>
            <w:r>
              <w:rPr>
                <w:rFonts w:cstheme="minorHAnsi"/>
              </w:rPr>
              <w:t>CIW</w:t>
            </w:r>
            <w:r w:rsidR="0090555D">
              <w:rPr>
                <w:rFonts w:cstheme="minorHAnsi"/>
              </w:rPr>
              <w:t>, PHE</w:t>
            </w:r>
            <w:r>
              <w:rPr>
                <w:rFonts w:cstheme="minorHAnsi"/>
              </w:rPr>
              <w:t xml:space="preserve"> – don’t have age/sex, just bed</w:t>
            </w:r>
            <w:r w:rsidR="0090555D">
              <w:rPr>
                <w:rFonts w:cstheme="minorHAnsi"/>
              </w:rPr>
              <w:t xml:space="preserve"> </w:t>
            </w:r>
            <w:r>
              <w:rPr>
                <w:rFonts w:cstheme="minorHAnsi"/>
              </w:rPr>
              <w:t>spaces</w:t>
            </w:r>
          </w:p>
        </w:tc>
      </w:tr>
      <w:tr w:rsidR="00AA3A32" w14:paraId="5A939DD7" w14:textId="77777777" w:rsidTr="00AA110F">
        <w:tc>
          <w:tcPr>
            <w:tcW w:w="2122" w:type="dxa"/>
          </w:tcPr>
          <w:p w14:paraId="7EECAA7B" w14:textId="77777777" w:rsidR="00AA3A32" w:rsidRDefault="00AA3A32" w:rsidP="007473D7">
            <w:pPr>
              <w:rPr>
                <w:rFonts w:cstheme="minorHAnsi"/>
              </w:rPr>
            </w:pPr>
            <w:r>
              <w:rPr>
                <w:rFonts w:cstheme="minorHAnsi"/>
              </w:rPr>
              <w:t>School boarders</w:t>
            </w:r>
          </w:p>
        </w:tc>
        <w:tc>
          <w:tcPr>
            <w:tcW w:w="2268" w:type="dxa"/>
          </w:tcPr>
          <w:p w14:paraId="3F7715FE" w14:textId="77777777" w:rsidR="00AA3A32" w:rsidRDefault="00AA110F" w:rsidP="007473D7">
            <w:pPr>
              <w:rPr>
                <w:rFonts w:cstheme="minorHAnsi"/>
              </w:rPr>
            </w:pPr>
            <w:r>
              <w:rPr>
                <w:rFonts w:cstheme="minorHAnsi"/>
              </w:rPr>
              <w:t>English and Welsh School Censuses (</w:t>
            </w:r>
            <w:r w:rsidR="00AA3A32">
              <w:rPr>
                <w:rFonts w:cstheme="minorHAnsi"/>
              </w:rPr>
              <w:t>ESC, WSC</w:t>
            </w:r>
            <w:r>
              <w:rPr>
                <w:rFonts w:cstheme="minorHAnsi"/>
              </w:rPr>
              <w:t>)</w:t>
            </w:r>
            <w:r w:rsidR="00AA3A32">
              <w:rPr>
                <w:rFonts w:cstheme="minorHAnsi"/>
              </w:rPr>
              <w:t>, School level annual school census (SLASC), Stats Wales</w:t>
            </w:r>
          </w:p>
          <w:p w14:paraId="58551B61" w14:textId="1E2EEE4C" w:rsidR="00724F05" w:rsidRDefault="00724F05" w:rsidP="007473D7">
            <w:pPr>
              <w:rPr>
                <w:rFonts w:cstheme="minorHAnsi"/>
              </w:rPr>
            </w:pPr>
            <w:proofErr w:type="spellStart"/>
            <w:r>
              <w:rPr>
                <w:rFonts w:cstheme="minorHAnsi"/>
              </w:rPr>
              <w:t>Indep</w:t>
            </w:r>
            <w:proofErr w:type="spellEnd"/>
            <w:r>
              <w:rPr>
                <w:rFonts w:cstheme="minorHAnsi"/>
              </w:rPr>
              <w:t>. School Census</w:t>
            </w:r>
          </w:p>
        </w:tc>
        <w:tc>
          <w:tcPr>
            <w:tcW w:w="4536" w:type="dxa"/>
          </w:tcPr>
          <w:p w14:paraId="54084B41" w14:textId="77777777" w:rsidR="00AA3A32" w:rsidRDefault="00AA3A32" w:rsidP="007473D7">
            <w:pPr>
              <w:rPr>
                <w:rFonts w:cstheme="minorHAnsi"/>
              </w:rPr>
            </w:pPr>
            <w:r>
              <w:rPr>
                <w:rFonts w:cstheme="minorHAnsi"/>
              </w:rPr>
              <w:t>What quality assessment has been done on these?</w:t>
            </w:r>
          </w:p>
          <w:p w14:paraId="5967EFB9" w14:textId="77777777" w:rsidR="00AA3A32" w:rsidRDefault="00AA3A32" w:rsidP="007473D7">
            <w:pPr>
              <w:rPr>
                <w:rFonts w:cstheme="minorHAnsi"/>
              </w:rPr>
            </w:pPr>
            <w:r>
              <w:rPr>
                <w:rFonts w:cstheme="minorHAnsi"/>
              </w:rPr>
              <w:t>Can we compare against PDS?</w:t>
            </w:r>
            <w:r w:rsidR="0090555D">
              <w:rPr>
                <w:rFonts w:cstheme="minorHAnsi"/>
              </w:rPr>
              <w:t xml:space="preserve"> Will boarders be registered on PDS at boarding location?</w:t>
            </w:r>
          </w:p>
          <w:p w14:paraId="5D3BCF7C" w14:textId="63360739" w:rsidR="007D4A4D" w:rsidRDefault="007D4A4D" w:rsidP="007473D7">
            <w:pPr>
              <w:rPr>
                <w:rFonts w:cstheme="minorHAnsi"/>
              </w:rPr>
            </w:pPr>
            <w:r>
              <w:rPr>
                <w:rFonts w:cstheme="minorHAnsi"/>
              </w:rPr>
              <w:t xml:space="preserve">Independent School Census will not release data at detailed </w:t>
            </w:r>
            <w:r w:rsidR="00724F05">
              <w:rPr>
                <w:rFonts w:cstheme="minorHAnsi"/>
              </w:rPr>
              <w:t xml:space="preserve">(establishment) </w:t>
            </w:r>
            <w:r>
              <w:rPr>
                <w:rFonts w:cstheme="minorHAnsi"/>
              </w:rPr>
              <w:t>geography</w:t>
            </w:r>
          </w:p>
        </w:tc>
      </w:tr>
      <w:tr w:rsidR="00AA3A32" w14:paraId="08F33FF8" w14:textId="77777777" w:rsidTr="00AA110F">
        <w:tc>
          <w:tcPr>
            <w:tcW w:w="2122" w:type="dxa"/>
          </w:tcPr>
          <w:p w14:paraId="6C1B1A1E" w14:textId="77777777" w:rsidR="00AA3A32" w:rsidRDefault="00AA3A32" w:rsidP="007473D7">
            <w:pPr>
              <w:rPr>
                <w:rFonts w:cstheme="minorHAnsi"/>
              </w:rPr>
            </w:pPr>
            <w:r>
              <w:rPr>
                <w:rFonts w:cstheme="minorHAnsi"/>
              </w:rPr>
              <w:t>University students</w:t>
            </w:r>
          </w:p>
        </w:tc>
        <w:tc>
          <w:tcPr>
            <w:tcW w:w="2268" w:type="dxa"/>
          </w:tcPr>
          <w:p w14:paraId="48A82BFE" w14:textId="77777777" w:rsidR="00AA3A32" w:rsidRDefault="00AA3A32" w:rsidP="007473D7">
            <w:pPr>
              <w:rPr>
                <w:rFonts w:cstheme="minorHAnsi"/>
              </w:rPr>
            </w:pPr>
            <w:r>
              <w:rPr>
                <w:rFonts w:cstheme="minorHAnsi"/>
              </w:rPr>
              <w:t xml:space="preserve">HESA </w:t>
            </w:r>
          </w:p>
          <w:p w14:paraId="54D2A6AC" w14:textId="77777777" w:rsidR="006A1452" w:rsidRDefault="006A1452" w:rsidP="007473D7">
            <w:pPr>
              <w:rPr>
                <w:rFonts w:cstheme="minorHAnsi"/>
              </w:rPr>
            </w:pPr>
          </w:p>
          <w:p w14:paraId="2B3E3E8D" w14:textId="77777777" w:rsidR="006A1452" w:rsidRDefault="006A1452" w:rsidP="007473D7">
            <w:pPr>
              <w:rPr>
                <w:rFonts w:cstheme="minorHAnsi"/>
              </w:rPr>
            </w:pPr>
          </w:p>
          <w:p w14:paraId="28DB70AE" w14:textId="77777777" w:rsidR="006A1452" w:rsidRDefault="006A1452" w:rsidP="007473D7">
            <w:pPr>
              <w:rPr>
                <w:rFonts w:cstheme="minorHAnsi"/>
              </w:rPr>
            </w:pPr>
          </w:p>
          <w:p w14:paraId="66C5E902" w14:textId="00F4C1AF" w:rsidR="006A1452" w:rsidRDefault="006A1452" w:rsidP="007473D7">
            <w:pPr>
              <w:rPr>
                <w:rFonts w:cstheme="minorHAnsi"/>
              </w:rPr>
            </w:pPr>
            <w:r>
              <w:rPr>
                <w:rFonts w:cstheme="minorHAnsi"/>
              </w:rPr>
              <w:t>HESES and patterns of term-time accommodation/ Halls bed</w:t>
            </w:r>
            <w:r w:rsidR="0090555D">
              <w:rPr>
                <w:rFonts w:cstheme="minorHAnsi"/>
              </w:rPr>
              <w:t xml:space="preserve"> </w:t>
            </w:r>
            <w:r>
              <w:rPr>
                <w:rFonts w:cstheme="minorHAnsi"/>
              </w:rPr>
              <w:t>spaces</w:t>
            </w:r>
          </w:p>
        </w:tc>
        <w:tc>
          <w:tcPr>
            <w:tcW w:w="4536" w:type="dxa"/>
          </w:tcPr>
          <w:p w14:paraId="5A45DF33" w14:textId="4833A95A" w:rsidR="00AA3A32" w:rsidRDefault="006A1452" w:rsidP="007473D7">
            <w:pPr>
              <w:rPr>
                <w:rFonts w:cstheme="minorHAnsi"/>
              </w:rPr>
            </w:pPr>
            <w:r>
              <w:rPr>
                <w:rFonts w:cstheme="minorHAnsi"/>
              </w:rPr>
              <w:t xml:space="preserve">HESA </w:t>
            </w:r>
            <w:r w:rsidR="00AA3A32">
              <w:rPr>
                <w:rFonts w:cstheme="minorHAnsi"/>
              </w:rPr>
              <w:t xml:space="preserve">data too lagged, asking for special delivery </w:t>
            </w:r>
            <w:r w:rsidR="0090555D">
              <w:rPr>
                <w:rFonts w:cstheme="minorHAnsi"/>
              </w:rPr>
              <w:t xml:space="preserve">for 2021, </w:t>
            </w:r>
            <w:r w:rsidR="00AA3A32">
              <w:rPr>
                <w:rFonts w:cstheme="minorHAnsi"/>
              </w:rPr>
              <w:t>but this only likely to be useful if we’re very behind with processing</w:t>
            </w:r>
            <w:r>
              <w:rPr>
                <w:rFonts w:cstheme="minorHAnsi"/>
              </w:rPr>
              <w:t>. Uncertain of quality beyond 1</w:t>
            </w:r>
            <w:r w:rsidRPr="006A1452">
              <w:rPr>
                <w:rFonts w:cstheme="minorHAnsi"/>
                <w:vertAlign w:val="superscript"/>
              </w:rPr>
              <w:t>st</w:t>
            </w:r>
            <w:r>
              <w:rPr>
                <w:rFonts w:cstheme="minorHAnsi"/>
              </w:rPr>
              <w:t xml:space="preserve"> year undergraduates.</w:t>
            </w:r>
          </w:p>
          <w:p w14:paraId="5188D229" w14:textId="5C6E6620" w:rsidR="006A1452" w:rsidRDefault="006A1452" w:rsidP="006A1452">
            <w:pPr>
              <w:rPr>
                <w:rFonts w:cstheme="minorHAnsi"/>
              </w:rPr>
            </w:pPr>
            <w:r>
              <w:rPr>
                <w:rFonts w:cstheme="minorHAnsi"/>
              </w:rPr>
              <w:t>Possibility of getting aggregate HESES data and applying distributions of where students are usually located when at term addresses – this still to be investigated.</w:t>
            </w:r>
          </w:p>
        </w:tc>
      </w:tr>
      <w:tr w:rsidR="00AA3A32" w14:paraId="5F33E602" w14:textId="77777777" w:rsidTr="00AA110F">
        <w:tc>
          <w:tcPr>
            <w:tcW w:w="2122" w:type="dxa"/>
          </w:tcPr>
          <w:p w14:paraId="76E9D519" w14:textId="77777777" w:rsidR="00AA3A32" w:rsidRDefault="00AA3A32" w:rsidP="007473D7">
            <w:pPr>
              <w:rPr>
                <w:rFonts w:cstheme="minorHAnsi"/>
              </w:rPr>
            </w:pPr>
            <w:r>
              <w:rPr>
                <w:rFonts w:cstheme="minorHAnsi"/>
              </w:rPr>
              <w:t>Home armed forces</w:t>
            </w:r>
          </w:p>
        </w:tc>
        <w:tc>
          <w:tcPr>
            <w:tcW w:w="2268" w:type="dxa"/>
          </w:tcPr>
          <w:p w14:paraId="03A10F48" w14:textId="5053E4F7" w:rsidR="00AA3A32" w:rsidRDefault="0090555D" w:rsidP="007473D7">
            <w:pPr>
              <w:rPr>
                <w:rFonts w:cstheme="minorHAnsi"/>
              </w:rPr>
            </w:pPr>
            <w:r>
              <w:rPr>
                <w:rFonts w:cstheme="minorHAnsi"/>
              </w:rPr>
              <w:t>Ministry of Defence (</w:t>
            </w:r>
            <w:r w:rsidR="00AA3A32">
              <w:rPr>
                <w:rFonts w:cstheme="minorHAnsi"/>
              </w:rPr>
              <w:t>MoD</w:t>
            </w:r>
            <w:r>
              <w:rPr>
                <w:rFonts w:cstheme="minorHAnsi"/>
              </w:rPr>
              <w:t>)</w:t>
            </w:r>
          </w:p>
        </w:tc>
        <w:tc>
          <w:tcPr>
            <w:tcW w:w="4536" w:type="dxa"/>
          </w:tcPr>
          <w:p w14:paraId="54D3DF8C" w14:textId="62E7C8F7" w:rsidR="00AA3A32" w:rsidRDefault="00AA3A32" w:rsidP="007473D7">
            <w:pPr>
              <w:rPr>
                <w:rFonts w:cstheme="minorHAnsi"/>
              </w:rPr>
            </w:pPr>
            <w:r>
              <w:rPr>
                <w:rFonts w:cstheme="minorHAnsi"/>
              </w:rPr>
              <w:t>data by base – how to separate out those living elsewhere?</w:t>
            </w:r>
            <w:r w:rsidR="00724F05">
              <w:rPr>
                <w:rFonts w:cstheme="minorHAnsi"/>
              </w:rPr>
              <w:t xml:space="preserve">  Dependence on field info</w:t>
            </w:r>
          </w:p>
        </w:tc>
      </w:tr>
      <w:tr w:rsidR="00AA3A32" w14:paraId="3F511C50" w14:textId="77777777" w:rsidTr="00AA110F">
        <w:tc>
          <w:tcPr>
            <w:tcW w:w="2122" w:type="dxa"/>
          </w:tcPr>
          <w:p w14:paraId="650BC6FF" w14:textId="77777777" w:rsidR="00AA3A32" w:rsidRDefault="00AA3A32" w:rsidP="007473D7">
            <w:pPr>
              <w:rPr>
                <w:rFonts w:cstheme="minorHAnsi"/>
              </w:rPr>
            </w:pPr>
            <w:r>
              <w:rPr>
                <w:rFonts w:cstheme="minorHAnsi"/>
              </w:rPr>
              <w:t>Foreign armed forces</w:t>
            </w:r>
          </w:p>
        </w:tc>
        <w:tc>
          <w:tcPr>
            <w:tcW w:w="2268" w:type="dxa"/>
          </w:tcPr>
          <w:p w14:paraId="0FDE1089" w14:textId="477A9FCF" w:rsidR="00AA3A32" w:rsidRDefault="0090555D" w:rsidP="007473D7">
            <w:pPr>
              <w:rPr>
                <w:rFonts w:cstheme="minorHAnsi"/>
              </w:rPr>
            </w:pPr>
            <w:r>
              <w:rPr>
                <w:rFonts w:cstheme="minorHAnsi"/>
              </w:rPr>
              <w:t>United States Armed Forces (</w:t>
            </w:r>
            <w:r w:rsidR="00AA3A32">
              <w:rPr>
                <w:rFonts w:cstheme="minorHAnsi"/>
              </w:rPr>
              <w:t>USAF</w:t>
            </w:r>
            <w:r>
              <w:rPr>
                <w:rFonts w:cstheme="minorHAnsi"/>
              </w:rPr>
              <w:t>)</w:t>
            </w:r>
          </w:p>
        </w:tc>
        <w:tc>
          <w:tcPr>
            <w:tcW w:w="4536" w:type="dxa"/>
          </w:tcPr>
          <w:p w14:paraId="552D20D3" w14:textId="3C40BD55" w:rsidR="00AA3A32" w:rsidRDefault="00AA3A32" w:rsidP="007473D7">
            <w:pPr>
              <w:rPr>
                <w:rFonts w:cstheme="minorHAnsi"/>
              </w:rPr>
            </w:pPr>
            <w:r>
              <w:rPr>
                <w:rFonts w:cstheme="minorHAnsi"/>
              </w:rPr>
              <w:t>data by base – how to separate out those living elsewhere?</w:t>
            </w:r>
            <w:r w:rsidR="00724F05">
              <w:rPr>
                <w:rFonts w:cstheme="minorHAnsi"/>
              </w:rPr>
              <w:t xml:space="preserve"> Dependence on field info</w:t>
            </w:r>
          </w:p>
        </w:tc>
      </w:tr>
      <w:tr w:rsidR="00AA3A32" w14:paraId="734584D1" w14:textId="77777777" w:rsidTr="00AA110F">
        <w:tc>
          <w:tcPr>
            <w:tcW w:w="2122" w:type="dxa"/>
          </w:tcPr>
          <w:p w14:paraId="25B804DA" w14:textId="77777777" w:rsidR="00AA3A32" w:rsidRDefault="00AA3A32" w:rsidP="007473D7">
            <w:pPr>
              <w:rPr>
                <w:rFonts w:cstheme="minorHAnsi"/>
              </w:rPr>
            </w:pPr>
            <w:r>
              <w:rPr>
                <w:rFonts w:cstheme="minorHAnsi"/>
              </w:rPr>
              <w:t>Prisoners</w:t>
            </w:r>
          </w:p>
          <w:p w14:paraId="1F9EE63B" w14:textId="77777777" w:rsidR="00AA3A32" w:rsidRDefault="00AA3A32" w:rsidP="007473D7">
            <w:pPr>
              <w:rPr>
                <w:rFonts w:cstheme="minorHAnsi"/>
              </w:rPr>
            </w:pPr>
            <w:r>
              <w:rPr>
                <w:rFonts w:cstheme="minorHAnsi"/>
              </w:rPr>
              <w:t>Immigration removal centres</w:t>
            </w:r>
          </w:p>
        </w:tc>
        <w:tc>
          <w:tcPr>
            <w:tcW w:w="2268" w:type="dxa"/>
          </w:tcPr>
          <w:p w14:paraId="2DF32067" w14:textId="4C332B7B" w:rsidR="00AA3A32" w:rsidRDefault="0090555D" w:rsidP="007473D7">
            <w:pPr>
              <w:rPr>
                <w:rFonts w:cstheme="minorHAnsi"/>
              </w:rPr>
            </w:pPr>
            <w:r>
              <w:rPr>
                <w:rFonts w:cstheme="minorHAnsi"/>
              </w:rPr>
              <w:t>Ministry of Justice (</w:t>
            </w:r>
            <w:proofErr w:type="spellStart"/>
            <w:r w:rsidR="00AA3A32">
              <w:rPr>
                <w:rFonts w:cstheme="minorHAnsi"/>
              </w:rPr>
              <w:t>MoJ</w:t>
            </w:r>
            <w:proofErr w:type="spellEnd"/>
            <w:r>
              <w:rPr>
                <w:rFonts w:cstheme="minorHAnsi"/>
              </w:rPr>
              <w:t>)</w:t>
            </w:r>
            <w:r w:rsidR="00AA3A32">
              <w:rPr>
                <w:rFonts w:cstheme="minorHAnsi"/>
              </w:rPr>
              <w:t xml:space="preserve"> – data by prison, postcode, age/sex, length of sentence</w:t>
            </w:r>
          </w:p>
          <w:p w14:paraId="632EE762" w14:textId="77777777" w:rsidR="00AA3A32" w:rsidRDefault="00AA3A32" w:rsidP="007473D7">
            <w:pPr>
              <w:rPr>
                <w:rFonts w:cstheme="minorHAnsi"/>
              </w:rPr>
            </w:pPr>
            <w:r>
              <w:rPr>
                <w:rFonts w:cstheme="minorHAnsi"/>
              </w:rPr>
              <w:t>Home Office</w:t>
            </w:r>
          </w:p>
        </w:tc>
        <w:tc>
          <w:tcPr>
            <w:tcW w:w="4536" w:type="dxa"/>
          </w:tcPr>
          <w:p w14:paraId="4E1FD1EC" w14:textId="76CFCA31" w:rsidR="000C4D2E" w:rsidRDefault="000C4D2E" w:rsidP="007473D7">
            <w:pPr>
              <w:rPr>
                <w:rFonts w:cstheme="minorHAnsi"/>
              </w:rPr>
            </w:pPr>
            <w:proofErr w:type="spellStart"/>
            <w:r>
              <w:rPr>
                <w:rFonts w:cstheme="minorHAnsi"/>
              </w:rPr>
              <w:t>MoJ</w:t>
            </w:r>
            <w:proofErr w:type="spellEnd"/>
            <w:r>
              <w:rPr>
                <w:rFonts w:cstheme="minorHAnsi"/>
              </w:rPr>
              <w:t xml:space="preserve"> data on prisoners going ahead ok, able to replicate census definitions ok.</w:t>
            </w:r>
          </w:p>
          <w:p w14:paraId="196F7DE2" w14:textId="0F1C5CC6" w:rsidR="00AA3A32" w:rsidRDefault="00AA3A32" w:rsidP="007473D7">
            <w:pPr>
              <w:rPr>
                <w:rFonts w:cstheme="minorHAnsi"/>
              </w:rPr>
            </w:pPr>
            <w:r>
              <w:rPr>
                <w:rFonts w:cstheme="minorHAnsi"/>
              </w:rPr>
              <w:t xml:space="preserve">Does </w:t>
            </w:r>
            <w:proofErr w:type="spellStart"/>
            <w:r>
              <w:rPr>
                <w:rFonts w:cstheme="minorHAnsi"/>
              </w:rPr>
              <w:t>MoJ</w:t>
            </w:r>
            <w:proofErr w:type="spellEnd"/>
            <w:r>
              <w:rPr>
                <w:rFonts w:cstheme="minorHAnsi"/>
              </w:rPr>
              <w:t xml:space="preserve"> include probation bail and any other detention centres?</w:t>
            </w:r>
          </w:p>
          <w:p w14:paraId="653D146D" w14:textId="3C4F3266" w:rsidR="00AA3A32" w:rsidRDefault="00AA3A32" w:rsidP="007473D7">
            <w:pPr>
              <w:rPr>
                <w:rFonts w:cstheme="minorHAnsi"/>
              </w:rPr>
            </w:pPr>
          </w:p>
        </w:tc>
      </w:tr>
      <w:tr w:rsidR="00AA3A32" w14:paraId="2CA620C2" w14:textId="77777777" w:rsidTr="00AA110F">
        <w:tc>
          <w:tcPr>
            <w:tcW w:w="2122" w:type="dxa"/>
          </w:tcPr>
          <w:p w14:paraId="4D05435B" w14:textId="77777777" w:rsidR="00AA3A32" w:rsidRDefault="00AA3A32" w:rsidP="007473D7">
            <w:pPr>
              <w:rPr>
                <w:rFonts w:cstheme="minorHAnsi"/>
              </w:rPr>
            </w:pPr>
            <w:r>
              <w:rPr>
                <w:rFonts w:cstheme="minorHAnsi"/>
              </w:rPr>
              <w:t>Caravans/Travellers</w:t>
            </w:r>
          </w:p>
        </w:tc>
        <w:tc>
          <w:tcPr>
            <w:tcW w:w="2268" w:type="dxa"/>
          </w:tcPr>
          <w:p w14:paraId="3B366B92" w14:textId="3225A7CD" w:rsidR="00AA3A32" w:rsidRDefault="00AA3A32" w:rsidP="0090555D">
            <w:pPr>
              <w:rPr>
                <w:rFonts w:cstheme="minorHAnsi"/>
              </w:rPr>
            </w:pPr>
            <w:r>
              <w:rPr>
                <w:rFonts w:cstheme="minorHAnsi"/>
              </w:rPr>
              <w:t>Gypsy and Traveller Caravan by Stats Wales</w:t>
            </w:r>
            <w:r w:rsidR="0090555D">
              <w:rPr>
                <w:rFonts w:cstheme="minorHAnsi"/>
              </w:rPr>
              <w:t>, sources from Ministry of Housing, Community and Local Government (</w:t>
            </w:r>
            <w:r>
              <w:rPr>
                <w:rFonts w:cstheme="minorHAnsi"/>
              </w:rPr>
              <w:t>MHCLG</w:t>
            </w:r>
            <w:r w:rsidR="0090555D">
              <w:rPr>
                <w:rFonts w:cstheme="minorHAnsi"/>
              </w:rPr>
              <w:t>)</w:t>
            </w:r>
          </w:p>
        </w:tc>
        <w:tc>
          <w:tcPr>
            <w:tcW w:w="4536" w:type="dxa"/>
          </w:tcPr>
          <w:p w14:paraId="31C99E86" w14:textId="4B8148C2" w:rsidR="00AA3A32" w:rsidRDefault="0090555D" w:rsidP="007473D7">
            <w:pPr>
              <w:rPr>
                <w:rFonts w:cstheme="minorHAnsi"/>
              </w:rPr>
            </w:pPr>
            <w:r>
              <w:rPr>
                <w:rFonts w:cstheme="minorHAnsi"/>
              </w:rPr>
              <w:t>Investigating sources of data</w:t>
            </w:r>
          </w:p>
          <w:p w14:paraId="1ED35665" w14:textId="39D117EA" w:rsidR="00AA3A32" w:rsidRDefault="00AA3A32" w:rsidP="007473D7">
            <w:pPr>
              <w:rPr>
                <w:rFonts w:cstheme="minorHAnsi"/>
              </w:rPr>
            </w:pPr>
          </w:p>
        </w:tc>
      </w:tr>
    </w:tbl>
    <w:p w14:paraId="6A04BA84" w14:textId="77777777" w:rsidR="00703B58" w:rsidRPr="003A7ACD" w:rsidRDefault="00703B58" w:rsidP="00F60670">
      <w:pPr>
        <w:spacing w:after="0"/>
        <w:rPr>
          <w:rFonts w:cstheme="minorHAnsi"/>
        </w:rPr>
      </w:pPr>
    </w:p>
    <w:p w14:paraId="322D44B5" w14:textId="1AD0DF10" w:rsidR="006D4405" w:rsidRDefault="006D4405" w:rsidP="00F60670">
      <w:pPr>
        <w:spacing w:after="0"/>
        <w:rPr>
          <w:rFonts w:cstheme="minorHAnsi"/>
        </w:rPr>
      </w:pPr>
    </w:p>
    <w:p w14:paraId="5A0A22CE" w14:textId="3DFEC642" w:rsidR="00E7296E" w:rsidRPr="00BB7D6C" w:rsidRDefault="00E7296E" w:rsidP="00F60670">
      <w:pPr>
        <w:spacing w:after="0"/>
        <w:rPr>
          <w:rFonts w:cstheme="minorHAnsi"/>
          <w:b/>
          <w:bCs/>
          <w:sz w:val="24"/>
          <w:szCs w:val="24"/>
        </w:rPr>
      </w:pPr>
      <w:r w:rsidRPr="00BB7D6C">
        <w:rPr>
          <w:rFonts w:cstheme="minorHAnsi"/>
          <w:b/>
          <w:bCs/>
          <w:sz w:val="24"/>
          <w:szCs w:val="24"/>
        </w:rPr>
        <w:t>Use of donors in Coverage Adjustment</w:t>
      </w:r>
    </w:p>
    <w:p w14:paraId="73C238DF" w14:textId="328610C5" w:rsidR="006D4405" w:rsidRPr="003A7ACD" w:rsidRDefault="00AD7FCC" w:rsidP="00F60670">
      <w:pPr>
        <w:spacing w:after="0"/>
        <w:rPr>
          <w:rFonts w:cstheme="minorHAnsi"/>
        </w:rPr>
      </w:pPr>
      <w:r>
        <w:rPr>
          <w:rFonts w:cstheme="minorHAnsi"/>
        </w:rPr>
        <w:t xml:space="preserve">The Coverage Adjustment team have </w:t>
      </w:r>
      <w:r w:rsidR="00A653E7">
        <w:rPr>
          <w:rFonts w:cstheme="minorHAnsi"/>
        </w:rPr>
        <w:t>investigated</w:t>
      </w:r>
      <w:r>
        <w:rPr>
          <w:rFonts w:cstheme="minorHAnsi"/>
        </w:rPr>
        <w:t xml:space="preserve"> the over-use of donors in 2011:</w:t>
      </w:r>
    </w:p>
    <w:p w14:paraId="66615E74" w14:textId="41676213" w:rsidR="00FF48B2" w:rsidRPr="003A7ACD" w:rsidRDefault="00FF48B2" w:rsidP="00F60670">
      <w:pPr>
        <w:spacing w:after="0"/>
        <w:rPr>
          <w:rFonts w:cstheme="minorHAnsi"/>
        </w:rPr>
      </w:pPr>
    </w:p>
    <w:p w14:paraId="0413B296" w14:textId="3CA714D7" w:rsidR="006D4405" w:rsidRDefault="00AD7FCC" w:rsidP="006D4405">
      <w:pPr>
        <w:pStyle w:val="ListParagraph"/>
        <w:numPr>
          <w:ilvl w:val="0"/>
          <w:numId w:val="3"/>
        </w:numPr>
        <w:spacing w:after="0" w:line="240" w:lineRule="auto"/>
        <w:contextualSpacing w:val="0"/>
        <w:rPr>
          <w:rFonts w:eastAsia="Times New Roman" w:cstheme="minorHAnsi"/>
        </w:rPr>
      </w:pPr>
      <w:r>
        <w:rPr>
          <w:rFonts w:eastAsia="Times New Roman" w:cstheme="minorHAnsi"/>
        </w:rPr>
        <w:t>Confirmation that there was over-use of donors in 2011, especially for large CEs</w:t>
      </w:r>
      <w:r w:rsidR="002723D9">
        <w:rPr>
          <w:rFonts w:eastAsia="Times New Roman" w:cstheme="minorHAnsi"/>
        </w:rPr>
        <w:t xml:space="preserve"> (less of an issue for small CEs)</w:t>
      </w:r>
    </w:p>
    <w:p w14:paraId="0737B611" w14:textId="1F676D6F" w:rsidR="00AD7FCC" w:rsidRDefault="00AD7FCC" w:rsidP="006D4405">
      <w:pPr>
        <w:pStyle w:val="ListParagraph"/>
        <w:numPr>
          <w:ilvl w:val="0"/>
          <w:numId w:val="3"/>
        </w:numPr>
        <w:spacing w:after="0" w:line="240" w:lineRule="auto"/>
        <w:contextualSpacing w:val="0"/>
        <w:rPr>
          <w:rFonts w:eastAsia="Times New Roman" w:cstheme="minorHAnsi"/>
        </w:rPr>
      </w:pPr>
      <w:r>
        <w:rPr>
          <w:rFonts w:eastAsia="Times New Roman" w:cstheme="minorHAnsi"/>
        </w:rPr>
        <w:t>This was usually caused by the constraints in the estimates – given the age/sex and type targets, there simply weren’t sufficient donors available</w:t>
      </w:r>
    </w:p>
    <w:p w14:paraId="2DF2572D" w14:textId="77777777" w:rsidR="00AD7FCC" w:rsidRDefault="00AD7FCC" w:rsidP="006D4405">
      <w:pPr>
        <w:pStyle w:val="ListParagraph"/>
        <w:numPr>
          <w:ilvl w:val="0"/>
          <w:numId w:val="3"/>
        </w:numPr>
        <w:spacing w:after="0" w:line="240" w:lineRule="auto"/>
        <w:contextualSpacing w:val="0"/>
        <w:rPr>
          <w:rFonts w:eastAsia="Times New Roman" w:cstheme="minorHAnsi"/>
        </w:rPr>
      </w:pPr>
      <w:r>
        <w:rPr>
          <w:rFonts w:eastAsia="Times New Roman" w:cstheme="minorHAnsi"/>
        </w:rPr>
        <w:t xml:space="preserve">For 2021, we are considering using nearest-neighbour groups: </w:t>
      </w:r>
    </w:p>
    <w:p w14:paraId="3F7A532A" w14:textId="77777777" w:rsidR="00AD7FCC" w:rsidRDefault="00AD7FCC" w:rsidP="00AD7FCC">
      <w:pPr>
        <w:pStyle w:val="ListParagraph"/>
        <w:numPr>
          <w:ilvl w:val="1"/>
          <w:numId w:val="3"/>
        </w:numPr>
        <w:spacing w:after="0" w:line="240" w:lineRule="auto"/>
        <w:contextualSpacing w:val="0"/>
        <w:rPr>
          <w:rFonts w:eastAsia="Times New Roman" w:cstheme="minorHAnsi"/>
        </w:rPr>
      </w:pPr>
      <w:r>
        <w:rPr>
          <w:rFonts w:eastAsia="Times New Roman" w:cstheme="minorHAnsi"/>
        </w:rPr>
        <w:t xml:space="preserve">a slightly different age group within the CE, </w:t>
      </w:r>
    </w:p>
    <w:p w14:paraId="5900CD58" w14:textId="77777777" w:rsidR="00AD7FCC" w:rsidRDefault="00AD7FCC" w:rsidP="00AD7FCC">
      <w:pPr>
        <w:pStyle w:val="ListParagraph"/>
        <w:numPr>
          <w:ilvl w:val="1"/>
          <w:numId w:val="3"/>
        </w:numPr>
        <w:spacing w:after="0" w:line="240" w:lineRule="auto"/>
        <w:contextualSpacing w:val="0"/>
        <w:rPr>
          <w:rFonts w:eastAsia="Times New Roman" w:cstheme="minorHAnsi"/>
        </w:rPr>
      </w:pPr>
      <w:r>
        <w:rPr>
          <w:rFonts w:eastAsia="Times New Roman" w:cstheme="minorHAnsi"/>
        </w:rPr>
        <w:t xml:space="preserve">or a similar CE type geographically close, </w:t>
      </w:r>
    </w:p>
    <w:p w14:paraId="5DDDFBD6" w14:textId="785774AF" w:rsidR="00AD7FCC" w:rsidRPr="003A7ACD" w:rsidRDefault="00AD7FCC" w:rsidP="00AD7FCC">
      <w:pPr>
        <w:pStyle w:val="ListParagraph"/>
        <w:numPr>
          <w:ilvl w:val="1"/>
          <w:numId w:val="3"/>
        </w:numPr>
        <w:spacing w:after="0" w:line="240" w:lineRule="auto"/>
        <w:contextualSpacing w:val="0"/>
        <w:rPr>
          <w:rFonts w:eastAsia="Times New Roman" w:cstheme="minorHAnsi"/>
        </w:rPr>
      </w:pPr>
      <w:r>
        <w:rPr>
          <w:rFonts w:eastAsia="Times New Roman" w:cstheme="minorHAnsi"/>
        </w:rPr>
        <w:t>or if it’s a mixed-sex CE, to use a female when a male is needed (and vice versa)</w:t>
      </w:r>
    </w:p>
    <w:p w14:paraId="02B6D9B2" w14:textId="733017AC" w:rsidR="006D4405" w:rsidRPr="003A7ACD" w:rsidRDefault="00DE3BE4" w:rsidP="006D4405">
      <w:pPr>
        <w:pStyle w:val="ListParagraph"/>
        <w:numPr>
          <w:ilvl w:val="0"/>
          <w:numId w:val="3"/>
        </w:numPr>
        <w:spacing w:after="0" w:line="240" w:lineRule="auto"/>
        <w:contextualSpacing w:val="0"/>
        <w:rPr>
          <w:rFonts w:eastAsia="Times New Roman" w:cstheme="minorHAnsi"/>
        </w:rPr>
      </w:pPr>
      <w:r>
        <w:rPr>
          <w:rFonts w:eastAsia="Times New Roman" w:cstheme="minorHAnsi"/>
        </w:rPr>
        <w:t xml:space="preserve">Hoping to use </w:t>
      </w:r>
      <w:r w:rsidR="006D4405" w:rsidRPr="003A7ACD">
        <w:rPr>
          <w:rFonts w:eastAsia="Times New Roman" w:cstheme="minorHAnsi"/>
        </w:rPr>
        <w:t>combinatorial optimisation for CE imputation. When we’ve used CO for households, we’ve found that it doesn’t duplicate on donors as much as the 2011 method.</w:t>
      </w:r>
    </w:p>
    <w:p w14:paraId="5731BA14" w14:textId="17091481" w:rsidR="006D4405" w:rsidRDefault="006D4405" w:rsidP="006D4405">
      <w:pPr>
        <w:rPr>
          <w:rFonts w:cstheme="minorHAnsi"/>
        </w:rPr>
      </w:pPr>
    </w:p>
    <w:p w14:paraId="52644572" w14:textId="41D616E5" w:rsidR="00DE3BE4" w:rsidRDefault="00DE3BE4" w:rsidP="006D4405">
      <w:pPr>
        <w:rPr>
          <w:rFonts w:cstheme="minorHAnsi"/>
        </w:rPr>
      </w:pPr>
      <w:r>
        <w:rPr>
          <w:rFonts w:cstheme="minorHAnsi"/>
        </w:rPr>
        <w:t>Coverage Adjustment will be com</w:t>
      </w:r>
      <w:r w:rsidR="000106F9">
        <w:rPr>
          <w:rFonts w:cstheme="minorHAnsi"/>
        </w:rPr>
        <w:t>i</w:t>
      </w:r>
      <w:r>
        <w:rPr>
          <w:rFonts w:cstheme="minorHAnsi"/>
        </w:rPr>
        <w:t>ng back to MARP in September, so will be able to expand on this then.</w:t>
      </w:r>
    </w:p>
    <w:p w14:paraId="4D391506" w14:textId="21E86C1C" w:rsidR="00772E8D" w:rsidRDefault="00772E8D" w:rsidP="006D4405">
      <w:pPr>
        <w:rPr>
          <w:rFonts w:cstheme="minorHAnsi"/>
        </w:rPr>
      </w:pPr>
    </w:p>
    <w:p w14:paraId="6C883B58" w14:textId="4159A29E" w:rsidR="00772E8D" w:rsidRDefault="00772E8D" w:rsidP="006D4405">
      <w:pPr>
        <w:rPr>
          <w:rFonts w:cstheme="minorHAnsi"/>
        </w:rPr>
      </w:pPr>
    </w:p>
    <w:p w14:paraId="26C066C9" w14:textId="3E33E943" w:rsidR="00772E8D" w:rsidRDefault="00772E8D" w:rsidP="006D4405">
      <w:pPr>
        <w:rPr>
          <w:rFonts w:cstheme="minorHAnsi"/>
        </w:rPr>
      </w:pPr>
    </w:p>
    <w:p w14:paraId="68888AAD" w14:textId="593CF8CC" w:rsidR="00772E8D" w:rsidRDefault="00772E8D" w:rsidP="006D4405">
      <w:pPr>
        <w:rPr>
          <w:rFonts w:cstheme="minorHAnsi"/>
        </w:rPr>
      </w:pPr>
    </w:p>
    <w:p w14:paraId="13217DCF" w14:textId="0B104C76" w:rsidR="00772E8D" w:rsidRPr="00BB7D6C" w:rsidRDefault="00772E8D" w:rsidP="006D4405">
      <w:pPr>
        <w:rPr>
          <w:rFonts w:cstheme="minorHAnsi"/>
          <w:b/>
          <w:bCs/>
          <w:sz w:val="24"/>
          <w:szCs w:val="24"/>
        </w:rPr>
      </w:pPr>
      <w:r w:rsidRPr="00BB7D6C">
        <w:rPr>
          <w:rFonts w:cstheme="minorHAnsi"/>
          <w:b/>
          <w:bCs/>
          <w:sz w:val="24"/>
          <w:szCs w:val="24"/>
        </w:rPr>
        <w:t>References</w:t>
      </w:r>
    </w:p>
    <w:p w14:paraId="35E98A9B" w14:textId="2ECCEF36" w:rsidR="00772E8D" w:rsidRDefault="00772E8D" w:rsidP="006D4405">
      <w:pPr>
        <w:rPr>
          <w:rFonts w:cstheme="minorHAnsi"/>
        </w:rPr>
      </w:pPr>
      <w:r>
        <w:rPr>
          <w:rFonts w:cstheme="minorHAnsi"/>
        </w:rPr>
        <w:t>2021 Census: Estimation and Adjustment for Communal Establishments (</w:t>
      </w:r>
      <w:hyperlink r:id="rId15" w:history="1">
        <w:r w:rsidRPr="008129D2">
          <w:rPr>
            <w:rStyle w:val="Hyperlink"/>
            <w:rFonts w:cstheme="minorHAnsi"/>
          </w:rPr>
          <w:t>ONS, 2012</w:t>
        </w:r>
      </w:hyperlink>
      <w:r>
        <w:rPr>
          <w:rFonts w:cstheme="minorHAnsi"/>
        </w:rPr>
        <w:t>)</w:t>
      </w:r>
    </w:p>
    <w:p w14:paraId="06F7E665" w14:textId="21F40DE5" w:rsidR="00772E8D" w:rsidRDefault="00772E8D" w:rsidP="006D4405">
      <w:pPr>
        <w:rPr>
          <w:rStyle w:val="Hyperlink"/>
        </w:rPr>
      </w:pPr>
    </w:p>
    <w:p w14:paraId="5B6AEF6D" w14:textId="30701878" w:rsidR="00D00703" w:rsidRDefault="00D00703" w:rsidP="006D4405">
      <w:pPr>
        <w:rPr>
          <w:rStyle w:val="Hyperlink"/>
        </w:rPr>
      </w:pPr>
    </w:p>
    <w:p w14:paraId="57676E56" w14:textId="77777777" w:rsidR="00D00703" w:rsidRDefault="00D00703" w:rsidP="006D4405"/>
    <w:p w14:paraId="34FFE0A2" w14:textId="77777777" w:rsidR="00772E8D" w:rsidRDefault="00772E8D" w:rsidP="006D4405">
      <w:pPr>
        <w:rPr>
          <w:rFonts w:cstheme="minorHAnsi"/>
        </w:rPr>
      </w:pPr>
    </w:p>
    <w:p w14:paraId="45ADAEFD" w14:textId="331EF3C2" w:rsidR="008139FE" w:rsidRDefault="008139FE" w:rsidP="006D4405">
      <w:pPr>
        <w:rPr>
          <w:rFonts w:cstheme="minorHAnsi"/>
        </w:rPr>
      </w:pPr>
    </w:p>
    <w:p w14:paraId="334124C2" w14:textId="77777777" w:rsidR="00146AE4" w:rsidRPr="003A7ACD" w:rsidRDefault="00146AE4" w:rsidP="00F60670">
      <w:pPr>
        <w:spacing w:after="0"/>
        <w:rPr>
          <w:rFonts w:cstheme="minorHAnsi"/>
        </w:rPr>
      </w:pPr>
    </w:p>
    <w:p w14:paraId="1C7EAF27" w14:textId="3026C178" w:rsidR="00674C92" w:rsidRDefault="00674C92">
      <w:pPr>
        <w:rPr>
          <w:rFonts w:cstheme="minorHAnsi"/>
        </w:rPr>
      </w:pPr>
      <w:r>
        <w:rPr>
          <w:rFonts w:cstheme="minorHAnsi"/>
        </w:rPr>
        <w:br w:type="page"/>
      </w:r>
    </w:p>
    <w:p w14:paraId="1784FED8" w14:textId="77777777" w:rsidR="008532BB" w:rsidRPr="008532BB" w:rsidRDefault="008532BB" w:rsidP="008532BB">
      <w:pPr>
        <w:rPr>
          <w:rStyle w:val="eop"/>
          <w:rFonts w:ascii="Arial" w:hAnsi="Arial" w:cs="Arial"/>
          <w:b/>
          <w:bCs/>
        </w:rPr>
      </w:pPr>
      <w:r w:rsidRPr="008532BB">
        <w:rPr>
          <w:rStyle w:val="eop"/>
          <w:rFonts w:ascii="Arial" w:hAnsi="Arial" w:cs="Arial"/>
          <w:b/>
          <w:bCs/>
        </w:rPr>
        <w:lastRenderedPageBreak/>
        <w:t>Appendix A. Delivery method and initial contact type for all Communal Establishment types and Special Population Groups</w:t>
      </w:r>
    </w:p>
    <w:tbl>
      <w:tblPr>
        <w:tblW w:w="9525" w:type="dxa"/>
        <w:tblCellMar>
          <w:left w:w="0" w:type="dxa"/>
          <w:right w:w="0" w:type="dxa"/>
        </w:tblCellMar>
        <w:tblLook w:val="04A0" w:firstRow="1" w:lastRow="0" w:firstColumn="1" w:lastColumn="0" w:noHBand="0" w:noVBand="1"/>
      </w:tblPr>
      <w:tblGrid>
        <w:gridCol w:w="2926"/>
        <w:gridCol w:w="2933"/>
        <w:gridCol w:w="3666"/>
      </w:tblGrid>
      <w:tr w:rsidR="008532BB" w14:paraId="3F223B4F" w14:textId="77777777" w:rsidTr="008532BB">
        <w:trPr>
          <w:trHeight w:val="312"/>
        </w:trPr>
        <w:tc>
          <w:tcPr>
            <w:tcW w:w="292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31728B" w14:textId="77777777" w:rsidR="008532BB" w:rsidRDefault="008532BB" w:rsidP="008532BB">
            <w:pPr>
              <w:rPr>
                <w:rFonts w:ascii="Calibri Light" w:hAnsi="Calibri Light" w:cs="Calibri Light"/>
                <w:b/>
                <w:bCs/>
                <w:color w:val="000000"/>
              </w:rPr>
            </w:pPr>
            <w:r>
              <w:rPr>
                <w:rFonts w:ascii="Calibri Light" w:hAnsi="Calibri Light" w:cs="Calibri Light"/>
                <w:b/>
                <w:bCs/>
                <w:color w:val="000000"/>
              </w:rPr>
              <w:t>Route</w:t>
            </w:r>
          </w:p>
        </w:tc>
        <w:tc>
          <w:tcPr>
            <w:tcW w:w="293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0422AD" w14:textId="77777777" w:rsidR="008532BB" w:rsidRDefault="008532BB" w:rsidP="008532BB">
            <w:pPr>
              <w:rPr>
                <w:rFonts w:ascii="Calibri Light" w:hAnsi="Calibri Light" w:cs="Calibri Light"/>
                <w:b/>
                <w:bCs/>
                <w:color w:val="000000"/>
              </w:rPr>
            </w:pPr>
            <w:r>
              <w:rPr>
                <w:rFonts w:ascii="Calibri Light" w:hAnsi="Calibri Light" w:cs="Calibri Light"/>
                <w:b/>
                <w:bCs/>
                <w:color w:val="000000"/>
              </w:rPr>
              <w:t>Group</w:t>
            </w:r>
          </w:p>
        </w:tc>
        <w:tc>
          <w:tcPr>
            <w:tcW w:w="366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B31B11" w14:textId="77777777" w:rsidR="008532BB" w:rsidRDefault="008532BB" w:rsidP="008532BB">
            <w:pPr>
              <w:rPr>
                <w:rFonts w:ascii="Calibri Light" w:hAnsi="Calibri Light" w:cs="Calibri Light"/>
                <w:b/>
                <w:bCs/>
                <w:color w:val="000000"/>
              </w:rPr>
            </w:pPr>
            <w:r>
              <w:rPr>
                <w:rFonts w:ascii="Calibri Light" w:hAnsi="Calibri Light" w:cs="Calibri Light"/>
                <w:b/>
                <w:bCs/>
                <w:color w:val="000000"/>
              </w:rPr>
              <w:t>Address Requirements &amp; questionnaire type</w:t>
            </w:r>
          </w:p>
        </w:tc>
      </w:tr>
      <w:tr w:rsidR="008532BB" w14:paraId="3D3BEDD9" w14:textId="77777777" w:rsidTr="008532BB">
        <w:trPr>
          <w:trHeight w:val="624"/>
        </w:trPr>
        <w:tc>
          <w:tcPr>
            <w:tcW w:w="29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A2144" w14:textId="77777777" w:rsidR="008532BB" w:rsidRDefault="008532BB" w:rsidP="008532BB">
            <w:pPr>
              <w:rPr>
                <w:rFonts w:ascii="Calibri Light" w:hAnsi="Calibri Light" w:cs="Calibri Light"/>
                <w:b/>
                <w:bCs/>
              </w:rPr>
            </w:pPr>
            <w:r>
              <w:rPr>
                <w:rFonts w:ascii="Calibri Light" w:hAnsi="Calibri Light" w:cs="Calibri Light"/>
              </w:rPr>
              <w:t>Route A</w:t>
            </w:r>
          </w:p>
          <w:p w14:paraId="79EADFD4" w14:textId="77777777" w:rsidR="008532BB" w:rsidRDefault="008532BB" w:rsidP="008532BB">
            <w:pPr>
              <w:rPr>
                <w:rFonts w:ascii="Calibri Light" w:hAnsi="Calibri Light" w:cs="Calibri Light"/>
                <w:b/>
                <w:bCs/>
              </w:rPr>
            </w:pPr>
            <w:r>
              <w:rPr>
                <w:rFonts w:ascii="Calibri Light" w:hAnsi="Calibri Light" w:cs="Calibri Light"/>
                <w:color w:val="000000"/>
              </w:rPr>
              <w:t xml:space="preserve">Post out of an initial contact letter with access code </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14:paraId="4299B5B6" w14:textId="77777777" w:rsidR="008532BB" w:rsidRDefault="008532BB" w:rsidP="008532BB">
            <w:pPr>
              <w:rPr>
                <w:rFonts w:ascii="Calibri Light" w:hAnsi="Calibri Light" w:cs="Calibri Light"/>
                <w:color w:val="000000"/>
              </w:rPr>
            </w:pPr>
            <w:r>
              <w:rPr>
                <w:rFonts w:ascii="Calibri Light" w:hAnsi="Calibri Light" w:cs="Calibri Light"/>
                <w:color w:val="000000"/>
              </w:rPr>
              <w:t xml:space="preserve">Military bases (service family accommodation only) </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14:paraId="1DDCDDF6"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address frame at unit level – household questionnaire</w:t>
            </w:r>
          </w:p>
        </w:tc>
      </w:tr>
      <w:tr w:rsidR="008532BB" w14:paraId="0397AF91" w14:textId="77777777" w:rsidTr="008532BB">
        <w:trPr>
          <w:trHeight w:val="874"/>
        </w:trPr>
        <w:tc>
          <w:tcPr>
            <w:tcW w:w="0" w:type="auto"/>
            <w:vMerge/>
            <w:tcBorders>
              <w:top w:val="nil"/>
              <w:left w:val="single" w:sz="8" w:space="0" w:color="auto"/>
              <w:bottom w:val="single" w:sz="8" w:space="0" w:color="auto"/>
              <w:right w:val="single" w:sz="8" w:space="0" w:color="auto"/>
            </w:tcBorders>
            <w:vAlign w:val="center"/>
            <w:hideMark/>
          </w:tcPr>
          <w:p w14:paraId="3F20829C" w14:textId="77777777" w:rsidR="008532BB" w:rsidRDefault="008532BB" w:rsidP="008532BB">
            <w:pPr>
              <w:rPr>
                <w:rFonts w:ascii="Calibri Light" w:hAnsi="Calibri Light" w:cs="Calibri Light"/>
                <w:b/>
                <w:bCs/>
              </w:rPr>
            </w:pP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14:paraId="5D3F8046" w14:textId="77777777" w:rsidR="008532BB" w:rsidRPr="00CE5074" w:rsidRDefault="008532BB" w:rsidP="008532BB">
            <w:pPr>
              <w:rPr>
                <w:rFonts w:ascii="Calibri Light" w:hAnsi="Calibri Light" w:cs="Calibri Light"/>
                <w:color w:val="000000"/>
              </w:rPr>
            </w:pPr>
            <w:r w:rsidRPr="00CE5074">
              <w:rPr>
                <w:rFonts w:ascii="Calibri Light" w:hAnsi="Calibri Light" w:cs="Calibri Light"/>
                <w:color w:val="000000"/>
              </w:rPr>
              <w:t>Embassies and Consulates</w:t>
            </w:r>
            <w:r>
              <w:rPr>
                <w:rFonts w:ascii="Calibri Light" w:hAnsi="Calibri Light" w:cs="Calibri Light"/>
                <w:color w:val="000000"/>
              </w:rPr>
              <w:t xml:space="preserve">, </w:t>
            </w:r>
            <w:r w:rsidRPr="00CE5074">
              <w:rPr>
                <w:rFonts w:ascii="Calibri Light" w:hAnsi="Calibri Light" w:cs="Calibri Light"/>
                <w:color w:val="000000"/>
              </w:rPr>
              <w:t>Royal households</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14:paraId="6828E2F5"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address frame at establishment level – household questionnaire</w:t>
            </w:r>
          </w:p>
        </w:tc>
      </w:tr>
      <w:tr w:rsidR="008532BB" w14:paraId="5A3915F3" w14:textId="77777777" w:rsidTr="008532BB">
        <w:trPr>
          <w:trHeight w:val="922"/>
        </w:trPr>
        <w:tc>
          <w:tcPr>
            <w:tcW w:w="2926" w:type="dxa"/>
            <w:vMerge w:val="restart"/>
            <w:tcBorders>
              <w:top w:val="nil"/>
              <w:left w:val="single" w:sz="8" w:space="0" w:color="auto"/>
              <w:right w:val="single" w:sz="8" w:space="0" w:color="auto"/>
            </w:tcBorders>
            <w:tcMar>
              <w:top w:w="0" w:type="dxa"/>
              <w:left w:w="108" w:type="dxa"/>
              <w:bottom w:w="0" w:type="dxa"/>
              <w:right w:w="108" w:type="dxa"/>
            </w:tcMar>
            <w:hideMark/>
          </w:tcPr>
          <w:p w14:paraId="6D3709FE" w14:textId="77777777" w:rsidR="008532BB" w:rsidRDefault="008532BB" w:rsidP="008532BB">
            <w:pPr>
              <w:rPr>
                <w:rFonts w:ascii="Calibri Light" w:hAnsi="Calibri Light" w:cs="Calibri Light"/>
                <w:color w:val="000000"/>
              </w:rPr>
            </w:pPr>
            <w:r>
              <w:rPr>
                <w:rFonts w:ascii="Calibri Light" w:hAnsi="Calibri Light" w:cs="Calibri Light"/>
                <w:color w:val="000000"/>
              </w:rPr>
              <w:t>Route B</w:t>
            </w:r>
          </w:p>
          <w:p w14:paraId="73873794" w14:textId="77777777" w:rsidR="008532BB" w:rsidRDefault="008532BB" w:rsidP="008532BB">
            <w:pPr>
              <w:rPr>
                <w:rFonts w:ascii="Calibri Light" w:hAnsi="Calibri Light" w:cs="Calibri Light"/>
                <w:color w:val="000000"/>
              </w:rPr>
            </w:pPr>
            <w:r>
              <w:rPr>
                <w:rFonts w:ascii="Calibri Light" w:hAnsi="Calibri Light" w:cs="Calibri Light"/>
                <w:color w:val="000000"/>
              </w:rPr>
              <w:t xml:space="preserve">Hand delivered initial contact with access code </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14:paraId="256C0E98" w14:textId="77777777" w:rsidR="008532BB" w:rsidRDefault="008532BB" w:rsidP="008532BB">
            <w:pPr>
              <w:rPr>
                <w:rFonts w:ascii="Calibri Light" w:hAnsi="Calibri Light" w:cs="Calibri Light"/>
                <w:color w:val="000000"/>
              </w:rPr>
            </w:pPr>
            <w:r>
              <w:rPr>
                <w:rFonts w:ascii="Calibri Light" w:hAnsi="Calibri Light" w:cs="Calibri Light"/>
                <w:color w:val="000000"/>
              </w:rPr>
              <w:t>Residential caravanners and boaters</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14:paraId="3D78B15D"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address frame at establishment level, e.g. caravan park or marina. Household questionnaire</w:t>
            </w:r>
          </w:p>
        </w:tc>
      </w:tr>
      <w:tr w:rsidR="008532BB" w14:paraId="29629514" w14:textId="77777777" w:rsidTr="008532BB">
        <w:trPr>
          <w:trHeight w:val="922"/>
        </w:trPr>
        <w:tc>
          <w:tcPr>
            <w:tcW w:w="2926" w:type="dxa"/>
            <w:vMerge/>
            <w:tcBorders>
              <w:left w:val="single" w:sz="8" w:space="0" w:color="auto"/>
              <w:right w:val="single" w:sz="8" w:space="0" w:color="auto"/>
            </w:tcBorders>
            <w:tcMar>
              <w:top w:w="0" w:type="dxa"/>
              <w:left w:w="108" w:type="dxa"/>
              <w:bottom w:w="0" w:type="dxa"/>
              <w:right w:w="108" w:type="dxa"/>
            </w:tcMar>
          </w:tcPr>
          <w:p w14:paraId="5B0BEAF6" w14:textId="77777777" w:rsidR="008532BB" w:rsidRDefault="008532BB" w:rsidP="008532BB">
            <w:pPr>
              <w:rPr>
                <w:rFonts w:ascii="Calibri Light" w:hAnsi="Calibri Light" w:cs="Calibri Light"/>
                <w:color w:val="000000"/>
              </w:rPr>
            </w:pPr>
          </w:p>
        </w:tc>
        <w:tc>
          <w:tcPr>
            <w:tcW w:w="2933" w:type="dxa"/>
            <w:tcBorders>
              <w:top w:val="nil"/>
              <w:left w:val="nil"/>
              <w:bottom w:val="single" w:sz="8" w:space="0" w:color="auto"/>
              <w:right w:val="single" w:sz="8" w:space="0" w:color="auto"/>
            </w:tcBorders>
            <w:tcMar>
              <w:top w:w="0" w:type="dxa"/>
              <w:left w:w="108" w:type="dxa"/>
              <w:bottom w:w="0" w:type="dxa"/>
              <w:right w:w="108" w:type="dxa"/>
            </w:tcMar>
          </w:tcPr>
          <w:p w14:paraId="7341B77B" w14:textId="77777777" w:rsidR="008532BB" w:rsidRDefault="008532BB" w:rsidP="008532BB">
            <w:pPr>
              <w:rPr>
                <w:rFonts w:ascii="Calibri Light" w:hAnsi="Calibri Light" w:cs="Calibri Light"/>
                <w:color w:val="000000"/>
              </w:rPr>
            </w:pPr>
            <w:r w:rsidRPr="002D2FCD">
              <w:rPr>
                <w:rFonts w:ascii="Calibri Light" w:hAnsi="Calibri Light" w:cs="Calibri Light"/>
                <w:color w:val="000000"/>
              </w:rPr>
              <w:t>Children's homes, Hotels (Including youth hostels), Hostels, Boarding schools, Religious establishments</w:t>
            </w:r>
            <w:r>
              <w:rPr>
                <w:rFonts w:ascii="Calibri Light" w:hAnsi="Calibri Light" w:cs="Calibri Light"/>
                <w:color w:val="000000"/>
              </w:rPr>
              <w:t>, Military bases, Staff accommodation at holiday parks and hospitals.</w:t>
            </w:r>
          </w:p>
        </w:tc>
        <w:tc>
          <w:tcPr>
            <w:tcW w:w="3666" w:type="dxa"/>
            <w:tcBorders>
              <w:top w:val="nil"/>
              <w:left w:val="nil"/>
              <w:bottom w:val="single" w:sz="8" w:space="0" w:color="auto"/>
              <w:right w:val="single" w:sz="8" w:space="0" w:color="auto"/>
            </w:tcBorders>
            <w:tcMar>
              <w:top w:w="0" w:type="dxa"/>
              <w:left w:w="108" w:type="dxa"/>
              <w:bottom w:w="0" w:type="dxa"/>
              <w:right w:w="108" w:type="dxa"/>
            </w:tcMar>
          </w:tcPr>
          <w:p w14:paraId="3B28DAE7"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frame at establishment level. Individual questionnaires</w:t>
            </w:r>
          </w:p>
        </w:tc>
      </w:tr>
      <w:tr w:rsidR="008532BB" w14:paraId="4005C23D" w14:textId="77777777" w:rsidTr="008532BB">
        <w:trPr>
          <w:trHeight w:val="922"/>
        </w:trPr>
        <w:tc>
          <w:tcPr>
            <w:tcW w:w="292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5FDECD8" w14:textId="77777777" w:rsidR="008532BB" w:rsidRDefault="008532BB" w:rsidP="008532BB">
            <w:pPr>
              <w:rPr>
                <w:rFonts w:ascii="Calibri Light" w:hAnsi="Calibri Light" w:cs="Calibri Light"/>
                <w:color w:val="000000"/>
              </w:rPr>
            </w:pPr>
          </w:p>
        </w:tc>
        <w:tc>
          <w:tcPr>
            <w:tcW w:w="2933" w:type="dxa"/>
            <w:tcBorders>
              <w:top w:val="nil"/>
              <w:left w:val="nil"/>
              <w:bottom w:val="single" w:sz="8" w:space="0" w:color="auto"/>
              <w:right w:val="single" w:sz="8" w:space="0" w:color="auto"/>
            </w:tcBorders>
            <w:tcMar>
              <w:top w:w="0" w:type="dxa"/>
              <w:left w:w="108" w:type="dxa"/>
              <w:bottom w:w="0" w:type="dxa"/>
              <w:right w:w="108" w:type="dxa"/>
            </w:tcMar>
          </w:tcPr>
          <w:p w14:paraId="3973E65F" w14:textId="77777777" w:rsidR="008532BB" w:rsidRPr="002D2FCD" w:rsidRDefault="008532BB" w:rsidP="008532BB">
            <w:pPr>
              <w:rPr>
                <w:rFonts w:ascii="Calibri Light" w:hAnsi="Calibri Light" w:cs="Calibri Light"/>
                <w:color w:val="000000"/>
              </w:rPr>
            </w:pPr>
            <w:r>
              <w:rPr>
                <w:rFonts w:ascii="Calibri Light" w:hAnsi="Calibri Light" w:cs="Calibri Light"/>
                <w:color w:val="000000"/>
              </w:rPr>
              <w:t>Student halls of residence</w:t>
            </w:r>
          </w:p>
        </w:tc>
        <w:tc>
          <w:tcPr>
            <w:tcW w:w="3666" w:type="dxa"/>
            <w:tcBorders>
              <w:top w:val="nil"/>
              <w:left w:val="nil"/>
              <w:bottom w:val="single" w:sz="8" w:space="0" w:color="auto"/>
              <w:right w:val="single" w:sz="8" w:space="0" w:color="auto"/>
            </w:tcBorders>
            <w:tcMar>
              <w:top w:w="0" w:type="dxa"/>
              <w:left w:w="108" w:type="dxa"/>
              <w:bottom w:w="0" w:type="dxa"/>
              <w:right w:w="108" w:type="dxa"/>
            </w:tcMar>
          </w:tcPr>
          <w:p w14:paraId="2E59A46D"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frame at unit level. Individual questionnaires</w:t>
            </w:r>
          </w:p>
        </w:tc>
      </w:tr>
      <w:tr w:rsidR="008532BB" w14:paraId="33121BDD" w14:textId="77777777" w:rsidTr="008532BB">
        <w:trPr>
          <w:trHeight w:val="1249"/>
        </w:trPr>
        <w:tc>
          <w:tcPr>
            <w:tcW w:w="2926" w:type="dxa"/>
            <w:vMerge w:val="restart"/>
            <w:tcBorders>
              <w:top w:val="nil"/>
              <w:left w:val="single" w:sz="8" w:space="0" w:color="auto"/>
              <w:right w:val="single" w:sz="8" w:space="0" w:color="auto"/>
            </w:tcBorders>
            <w:tcMar>
              <w:top w:w="0" w:type="dxa"/>
              <w:left w:w="108" w:type="dxa"/>
              <w:bottom w:w="0" w:type="dxa"/>
              <w:right w:w="108" w:type="dxa"/>
            </w:tcMar>
            <w:hideMark/>
          </w:tcPr>
          <w:p w14:paraId="37F9736E" w14:textId="77777777" w:rsidR="008532BB" w:rsidRDefault="008532BB" w:rsidP="008532BB">
            <w:pPr>
              <w:rPr>
                <w:rFonts w:ascii="Calibri Light" w:hAnsi="Calibri Light" w:cs="Calibri Light"/>
                <w:color w:val="000000"/>
              </w:rPr>
            </w:pPr>
            <w:r>
              <w:rPr>
                <w:rFonts w:ascii="Calibri Light" w:hAnsi="Calibri Light" w:cs="Calibri Light"/>
                <w:color w:val="000000"/>
              </w:rPr>
              <w:t>Route C</w:t>
            </w:r>
          </w:p>
          <w:p w14:paraId="77CE118F" w14:textId="77777777" w:rsidR="008532BB" w:rsidRDefault="008532BB" w:rsidP="008532BB">
            <w:pPr>
              <w:rPr>
                <w:rFonts w:ascii="Calibri Light" w:hAnsi="Calibri Light" w:cs="Calibri Light"/>
                <w:color w:val="000000"/>
              </w:rPr>
            </w:pPr>
            <w:r>
              <w:rPr>
                <w:rFonts w:ascii="Calibri Light" w:hAnsi="Calibri Light" w:cs="Calibri Light"/>
                <w:color w:val="000000"/>
              </w:rPr>
              <w:t>hand delivered paper questionnaire +Prepaid envelope</w:t>
            </w:r>
          </w:p>
          <w:p w14:paraId="3784898B" w14:textId="77777777" w:rsidR="008532BB" w:rsidRDefault="008532BB" w:rsidP="008532BB">
            <w:pPr>
              <w:rPr>
                <w:rFonts w:ascii="Calibri Light" w:hAnsi="Calibri Light" w:cs="Calibri Light"/>
                <w:b/>
                <w:bCs/>
                <w:color w:val="000000"/>
              </w:rPr>
            </w:pPr>
            <w:r>
              <w:rPr>
                <w:rFonts w:ascii="Calibri Light" w:hAnsi="Calibri Light" w:cs="Calibri Light"/>
                <w:b/>
                <w:bCs/>
                <w:color w:val="000000"/>
              </w:rPr>
              <w:t>(Addressed)</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14:paraId="729D773B" w14:textId="77777777" w:rsidR="008532BB" w:rsidRDefault="008532BB" w:rsidP="008532BB">
            <w:pPr>
              <w:rPr>
                <w:rFonts w:ascii="Calibri Light" w:hAnsi="Calibri Light" w:cs="Calibri Light"/>
                <w:color w:val="000000"/>
              </w:rPr>
            </w:pPr>
            <w:r w:rsidRPr="00AD2C4B">
              <w:rPr>
                <w:rFonts w:ascii="Calibri Light" w:hAnsi="Calibri Light" w:cs="Calibri Light"/>
                <w:color w:val="000000"/>
              </w:rPr>
              <w:t>Gypsies, Roma &amp; Traveller (GRT) and other traveller sites</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14:paraId="1DF3F531"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address frame at establishment or unit level, e.g. site address or pitch address. Household questionnaires.</w:t>
            </w:r>
          </w:p>
        </w:tc>
      </w:tr>
      <w:tr w:rsidR="008532BB" w14:paraId="4C0FE26A" w14:textId="77777777" w:rsidTr="008532BB">
        <w:trPr>
          <w:trHeight w:val="1249"/>
        </w:trPr>
        <w:tc>
          <w:tcPr>
            <w:tcW w:w="292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C3B690" w14:textId="77777777" w:rsidR="008532BB" w:rsidRDefault="008532BB" w:rsidP="008532BB">
            <w:pPr>
              <w:rPr>
                <w:rFonts w:ascii="Calibri Light" w:hAnsi="Calibri Light" w:cs="Calibri Light"/>
                <w:color w:val="000000"/>
              </w:rPr>
            </w:pPr>
          </w:p>
        </w:tc>
        <w:tc>
          <w:tcPr>
            <w:tcW w:w="2933" w:type="dxa"/>
            <w:tcBorders>
              <w:top w:val="nil"/>
              <w:left w:val="nil"/>
              <w:bottom w:val="single" w:sz="8" w:space="0" w:color="auto"/>
              <w:right w:val="single" w:sz="8" w:space="0" w:color="auto"/>
            </w:tcBorders>
            <w:tcMar>
              <w:top w:w="0" w:type="dxa"/>
              <w:left w:w="108" w:type="dxa"/>
              <w:bottom w:w="0" w:type="dxa"/>
              <w:right w:w="108" w:type="dxa"/>
            </w:tcMar>
          </w:tcPr>
          <w:p w14:paraId="673FA4E0" w14:textId="77777777" w:rsidR="008532BB" w:rsidRDefault="008532BB" w:rsidP="008532BB">
            <w:pPr>
              <w:rPr>
                <w:rFonts w:ascii="Calibri Light" w:hAnsi="Calibri Light" w:cs="Calibri Light"/>
                <w:color w:val="000000"/>
              </w:rPr>
            </w:pPr>
            <w:r>
              <w:rPr>
                <w:rFonts w:ascii="Calibri Light" w:hAnsi="Calibri Light" w:cs="Calibri Light"/>
                <w:color w:val="000000"/>
              </w:rPr>
              <w:t xml:space="preserve">Care homes, hospitals, hospices, </w:t>
            </w:r>
            <w:r w:rsidRPr="00DC47AA">
              <w:rPr>
                <w:rFonts w:ascii="Calibri Light" w:hAnsi="Calibri Light" w:cs="Calibri Light"/>
                <w:color w:val="000000"/>
              </w:rPr>
              <w:t>Immigration removal centres, High security psychiatric units, Prisons, Medium/low security units including approved premises</w:t>
            </w:r>
          </w:p>
        </w:tc>
        <w:tc>
          <w:tcPr>
            <w:tcW w:w="3666" w:type="dxa"/>
            <w:tcBorders>
              <w:top w:val="nil"/>
              <w:left w:val="nil"/>
              <w:bottom w:val="single" w:sz="8" w:space="0" w:color="auto"/>
              <w:right w:val="single" w:sz="8" w:space="0" w:color="auto"/>
            </w:tcBorders>
            <w:tcMar>
              <w:top w:w="0" w:type="dxa"/>
              <w:left w:w="108" w:type="dxa"/>
              <w:bottom w:w="0" w:type="dxa"/>
              <w:right w:w="108" w:type="dxa"/>
            </w:tcMar>
          </w:tcPr>
          <w:p w14:paraId="0FA51B2A"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held on the frame at establishment level. Individual questionnaires.</w:t>
            </w:r>
          </w:p>
        </w:tc>
      </w:tr>
      <w:tr w:rsidR="008532BB" w14:paraId="55920A62" w14:textId="77777777" w:rsidTr="008532BB">
        <w:trPr>
          <w:trHeight w:val="1249"/>
        </w:trPr>
        <w:tc>
          <w:tcPr>
            <w:tcW w:w="2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DD347" w14:textId="77777777" w:rsidR="008532BB" w:rsidRDefault="008532BB" w:rsidP="008532BB">
            <w:pPr>
              <w:rPr>
                <w:rFonts w:ascii="Calibri Light" w:hAnsi="Calibri Light" w:cs="Calibri Light"/>
                <w:b/>
                <w:bCs/>
              </w:rPr>
            </w:pPr>
            <w:r>
              <w:rPr>
                <w:rFonts w:ascii="Calibri Light" w:hAnsi="Calibri Light" w:cs="Calibri Light"/>
              </w:rPr>
              <w:t>Route C</w:t>
            </w:r>
          </w:p>
          <w:p w14:paraId="484F0B4E" w14:textId="77777777" w:rsidR="008532BB" w:rsidRDefault="008532BB" w:rsidP="008532BB">
            <w:pPr>
              <w:rPr>
                <w:rFonts w:ascii="Calibri Light" w:hAnsi="Calibri Light" w:cs="Calibri Light"/>
              </w:rPr>
            </w:pPr>
            <w:r>
              <w:rPr>
                <w:rFonts w:ascii="Calibri Light" w:hAnsi="Calibri Light" w:cs="Calibri Light"/>
              </w:rPr>
              <w:t>hand delivered paper questionnaire +Prepaid envelope</w:t>
            </w:r>
          </w:p>
          <w:p w14:paraId="1B71983D" w14:textId="77777777" w:rsidR="008532BB" w:rsidRDefault="008532BB" w:rsidP="008532BB">
            <w:pPr>
              <w:rPr>
                <w:rFonts w:ascii="Calibri Light" w:hAnsi="Calibri Light" w:cs="Calibri Light"/>
                <w:b/>
                <w:bCs/>
                <w:color w:val="000000"/>
              </w:rPr>
            </w:pPr>
            <w:r>
              <w:rPr>
                <w:rFonts w:ascii="Calibri Light" w:hAnsi="Calibri Light" w:cs="Calibri Light"/>
                <w:b/>
                <w:bCs/>
                <w:color w:val="000000"/>
              </w:rPr>
              <w:t>(Unaddressed)</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14:paraId="6FEA1B06" w14:textId="77777777" w:rsidR="008532BB" w:rsidRDefault="008532BB" w:rsidP="008532BB">
            <w:pPr>
              <w:rPr>
                <w:rFonts w:ascii="Calibri Light" w:hAnsi="Calibri Light" w:cs="Calibri Light"/>
                <w:color w:val="000000"/>
              </w:rPr>
            </w:pPr>
            <w:r>
              <w:rPr>
                <w:rFonts w:ascii="Calibri Light" w:hAnsi="Calibri Light" w:cs="Calibri Light"/>
                <w:color w:val="000000"/>
              </w:rPr>
              <w:t>Unauthorised sites used by GRTs and other travellers, continuous cruisers (e.g. bargees), show people (e.g. fairs and circuses)</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14:paraId="031B9E3C" w14:textId="77777777" w:rsidR="008532BB" w:rsidRDefault="008532BB" w:rsidP="008532BB">
            <w:pPr>
              <w:rPr>
                <w:rFonts w:ascii="Calibri Light" w:hAnsi="Calibri Light" w:cs="Calibri Light"/>
                <w:color w:val="000000"/>
              </w:rPr>
            </w:pPr>
            <w:r>
              <w:rPr>
                <w:rFonts w:ascii="Calibri Light" w:hAnsi="Calibri Light" w:cs="Calibri Light"/>
                <w:color w:val="000000"/>
              </w:rPr>
              <w:t>Addresses are not held on the address frame. Household questionnaires.</w:t>
            </w:r>
          </w:p>
        </w:tc>
      </w:tr>
    </w:tbl>
    <w:p w14:paraId="5EA54059" w14:textId="77777777" w:rsidR="008532BB" w:rsidRDefault="008532BB" w:rsidP="008532BB">
      <w:pPr>
        <w:rPr>
          <w:rStyle w:val="eop"/>
          <w:rFonts w:ascii="Arial" w:eastAsia="Times New Roman" w:hAnsi="Arial" w:cs="Arial"/>
          <w:sz w:val="24"/>
          <w:szCs w:val="24"/>
          <w:lang w:eastAsia="en-GB"/>
        </w:rPr>
      </w:pPr>
      <w:r>
        <w:rPr>
          <w:rStyle w:val="eop"/>
          <w:rFonts w:ascii="Arial" w:hAnsi="Arial" w:cs="Arial"/>
        </w:rPr>
        <w:br w:type="page"/>
      </w:r>
    </w:p>
    <w:p w14:paraId="04A272A6" w14:textId="6FBD91B5" w:rsidR="008532BB" w:rsidRDefault="008532BB" w:rsidP="008532BB">
      <w:pPr>
        <w:pStyle w:val="paragraph"/>
        <w:textAlignment w:val="baseline"/>
        <w:rPr>
          <w:rFonts w:asciiTheme="minorHAnsi" w:hAnsiTheme="minorHAnsi" w:cstheme="minorHAnsi"/>
          <w:b/>
          <w:bCs/>
        </w:rPr>
      </w:pPr>
      <w:r w:rsidRPr="008532BB">
        <w:rPr>
          <w:rFonts w:asciiTheme="minorHAnsi" w:hAnsiTheme="minorHAnsi" w:cstheme="minorHAnsi"/>
          <w:b/>
          <w:bCs/>
        </w:rPr>
        <w:lastRenderedPageBreak/>
        <w:t>Appendix B. Wave of Contact for Communal Establishments and Special Population Groups for the 2021 Census</w:t>
      </w:r>
    </w:p>
    <w:p w14:paraId="568BAF6F" w14:textId="47D617B4" w:rsidR="008532BB" w:rsidRDefault="008532BB" w:rsidP="008532BB">
      <w:pPr>
        <w:pStyle w:val="paragraph"/>
        <w:textAlignment w:val="baseline"/>
        <w:rPr>
          <w:rFonts w:asciiTheme="minorHAnsi" w:hAnsiTheme="minorHAnsi" w:cstheme="minorHAnsi"/>
          <w:b/>
          <w:bCs/>
        </w:rPr>
      </w:pPr>
    </w:p>
    <w:p w14:paraId="7B58412F" w14:textId="77777777" w:rsidR="008532BB" w:rsidRPr="008532BB" w:rsidRDefault="008532BB" w:rsidP="008532BB">
      <w:pPr>
        <w:pStyle w:val="paragraph"/>
        <w:textAlignment w:val="baseline"/>
        <w:rPr>
          <w:rFonts w:asciiTheme="minorHAnsi" w:hAnsiTheme="minorHAnsi" w:cstheme="minorHAnsi"/>
          <w:b/>
          <w:bCs/>
        </w:rPr>
      </w:pPr>
    </w:p>
    <w:p w14:paraId="6714F563" w14:textId="77777777" w:rsidR="008532BB" w:rsidRDefault="008532BB" w:rsidP="008532BB">
      <w:pPr>
        <w:pStyle w:val="paragraph"/>
      </w:pPr>
      <w:r>
        <w:rPr>
          <w:noProof/>
        </w:rPr>
        <w:drawing>
          <wp:inline distT="0" distB="0" distL="0" distR="0" wp14:anchorId="5A4F59CC" wp14:editId="3134BDA7">
            <wp:extent cx="5724524" cy="4057650"/>
            <wp:effectExtent l="0" t="0" r="0" b="0"/>
            <wp:docPr id="1336016791" name="Picture 123618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183976"/>
                    <pic:cNvPicPr/>
                  </pic:nvPicPr>
                  <pic:blipFill>
                    <a:blip r:embed="rId16">
                      <a:extLst>
                        <a:ext uri="{28A0092B-C50C-407E-A947-70E740481C1C}">
                          <a14:useLocalDpi xmlns:a14="http://schemas.microsoft.com/office/drawing/2010/main" val="0"/>
                        </a:ext>
                      </a:extLst>
                    </a:blip>
                    <a:stretch>
                      <a:fillRect/>
                    </a:stretch>
                  </pic:blipFill>
                  <pic:spPr>
                    <a:xfrm>
                      <a:off x="0" y="0"/>
                      <a:ext cx="5724524" cy="4057650"/>
                    </a:xfrm>
                    <a:prstGeom prst="rect">
                      <a:avLst/>
                    </a:prstGeom>
                  </pic:spPr>
                </pic:pic>
              </a:graphicData>
            </a:graphic>
          </wp:inline>
        </w:drawing>
      </w:r>
    </w:p>
    <w:p w14:paraId="2A16C1D0" w14:textId="77777777" w:rsidR="008532BB" w:rsidRDefault="008532BB" w:rsidP="008532BB">
      <w:r>
        <w:br w:type="page"/>
      </w:r>
    </w:p>
    <w:p w14:paraId="46162327" w14:textId="12AA440D" w:rsidR="008532BB" w:rsidRDefault="008532BB" w:rsidP="008532BB">
      <w:pPr>
        <w:rPr>
          <w:b/>
          <w:bCs/>
        </w:rPr>
      </w:pPr>
      <w:r w:rsidRPr="008532BB">
        <w:rPr>
          <w:b/>
          <w:bCs/>
        </w:rPr>
        <w:lastRenderedPageBreak/>
        <w:t xml:space="preserve">Appendix C. Return profiles for </w:t>
      </w:r>
      <w:r>
        <w:rPr>
          <w:b/>
          <w:bCs/>
        </w:rPr>
        <w:t>Communal Establishments (</w:t>
      </w:r>
      <w:r w:rsidRPr="008532BB">
        <w:rPr>
          <w:b/>
          <w:bCs/>
        </w:rPr>
        <w:t>CEs</w:t>
      </w:r>
      <w:r>
        <w:rPr>
          <w:b/>
          <w:bCs/>
        </w:rPr>
        <w:t>)</w:t>
      </w:r>
      <w:r w:rsidRPr="008532BB">
        <w:rPr>
          <w:b/>
          <w:bCs/>
        </w:rPr>
        <w:t xml:space="preserve"> and S</w:t>
      </w:r>
      <w:r>
        <w:rPr>
          <w:b/>
          <w:bCs/>
        </w:rPr>
        <w:t xml:space="preserve">pecial </w:t>
      </w:r>
      <w:r w:rsidRPr="008532BB">
        <w:rPr>
          <w:b/>
          <w:bCs/>
        </w:rPr>
        <w:t>P</w:t>
      </w:r>
      <w:r>
        <w:rPr>
          <w:b/>
          <w:bCs/>
        </w:rPr>
        <w:t xml:space="preserve">opulation </w:t>
      </w:r>
      <w:r w:rsidRPr="008532BB">
        <w:rPr>
          <w:b/>
          <w:bCs/>
        </w:rPr>
        <w:t>G</w:t>
      </w:r>
      <w:r>
        <w:rPr>
          <w:b/>
          <w:bCs/>
        </w:rPr>
        <w:t>roup</w:t>
      </w:r>
      <w:r w:rsidRPr="008532BB">
        <w:rPr>
          <w:b/>
          <w:bCs/>
        </w:rPr>
        <w:t>s</w:t>
      </w:r>
      <w:r>
        <w:rPr>
          <w:b/>
          <w:bCs/>
        </w:rPr>
        <w:t xml:space="preserve"> (SPGs)</w:t>
      </w:r>
    </w:p>
    <w:p w14:paraId="6D9E9C9F" w14:textId="02D22445" w:rsidR="008532BB" w:rsidRPr="008532BB" w:rsidRDefault="008532BB" w:rsidP="008532BB">
      <w:pPr>
        <w:rPr>
          <w:b/>
          <w:bCs/>
        </w:rPr>
      </w:pPr>
    </w:p>
    <w:p w14:paraId="17F11A27" w14:textId="0A95FC91" w:rsidR="008532BB" w:rsidRDefault="00E16E2F">
      <w:pPr>
        <w:rPr>
          <w:rFonts w:cstheme="minorHAnsi"/>
          <w:b/>
          <w:bCs/>
          <w:sz w:val="24"/>
          <w:szCs w:val="24"/>
        </w:rPr>
      </w:pPr>
      <w:r>
        <w:rPr>
          <w:noProof/>
        </w:rPr>
        <w:drawing>
          <wp:inline distT="0" distB="0" distL="0" distR="0" wp14:anchorId="37070996" wp14:editId="4BB6C5DF">
            <wp:extent cx="5731510" cy="3289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89300"/>
                    </a:xfrm>
                    <a:prstGeom prst="rect">
                      <a:avLst/>
                    </a:prstGeom>
                  </pic:spPr>
                </pic:pic>
              </a:graphicData>
            </a:graphic>
          </wp:inline>
        </w:drawing>
      </w:r>
      <w:r w:rsidR="008532BB">
        <w:rPr>
          <w:rFonts w:cstheme="minorHAnsi"/>
          <w:b/>
          <w:bCs/>
          <w:sz w:val="24"/>
          <w:szCs w:val="24"/>
        </w:rPr>
        <w:br w:type="page"/>
      </w:r>
    </w:p>
    <w:p w14:paraId="2F40D34B" w14:textId="1246B5F2" w:rsidR="007473D7" w:rsidRPr="00BB7D6C" w:rsidRDefault="008532BB" w:rsidP="00F60670">
      <w:pPr>
        <w:spacing w:after="0"/>
        <w:rPr>
          <w:rFonts w:cstheme="minorHAnsi"/>
          <w:b/>
          <w:bCs/>
          <w:sz w:val="24"/>
          <w:szCs w:val="24"/>
        </w:rPr>
      </w:pPr>
      <w:r>
        <w:rPr>
          <w:rFonts w:cstheme="minorHAnsi"/>
          <w:b/>
          <w:bCs/>
          <w:sz w:val="24"/>
          <w:szCs w:val="24"/>
        </w:rPr>
        <w:lastRenderedPageBreak/>
        <w:t>Appendix D.</w:t>
      </w:r>
      <w:r w:rsidR="007473D7" w:rsidRPr="00BB7D6C">
        <w:rPr>
          <w:rFonts w:cstheme="minorHAnsi"/>
          <w:b/>
          <w:bCs/>
          <w:sz w:val="24"/>
          <w:szCs w:val="24"/>
        </w:rPr>
        <w:t xml:space="preserve"> Supporting context info</w:t>
      </w:r>
      <w:r w:rsidR="00BB7D6C" w:rsidRPr="00BB7D6C">
        <w:rPr>
          <w:rFonts w:cstheme="minorHAnsi"/>
          <w:b/>
          <w:bCs/>
          <w:sz w:val="24"/>
          <w:szCs w:val="24"/>
        </w:rPr>
        <w:t>rmation</w:t>
      </w:r>
    </w:p>
    <w:p w14:paraId="6669005F" w14:textId="77777777" w:rsidR="007473D7" w:rsidRDefault="007473D7" w:rsidP="00F60670">
      <w:pPr>
        <w:spacing w:after="0"/>
        <w:rPr>
          <w:rFonts w:cstheme="minorHAnsi"/>
        </w:rPr>
      </w:pPr>
    </w:p>
    <w:p w14:paraId="59D8DD9A" w14:textId="4F633C59" w:rsidR="00F60670" w:rsidRPr="00BB7D6C" w:rsidRDefault="000106F9" w:rsidP="00F60670">
      <w:pPr>
        <w:spacing w:after="0"/>
        <w:rPr>
          <w:rFonts w:cstheme="minorHAnsi"/>
          <w:b/>
          <w:bCs/>
        </w:rPr>
      </w:pPr>
      <w:r w:rsidRPr="00BB7D6C">
        <w:rPr>
          <w:rFonts w:cstheme="minorHAnsi"/>
          <w:b/>
          <w:bCs/>
        </w:rPr>
        <w:t xml:space="preserve">Table </w:t>
      </w:r>
      <w:r w:rsidR="008532BB">
        <w:rPr>
          <w:rFonts w:cstheme="minorHAnsi"/>
          <w:b/>
          <w:bCs/>
        </w:rPr>
        <w:t>D</w:t>
      </w:r>
      <w:r w:rsidR="007473D7" w:rsidRPr="00BB7D6C">
        <w:rPr>
          <w:rFonts w:cstheme="minorHAnsi"/>
          <w:b/>
          <w:bCs/>
        </w:rPr>
        <w:t>1</w:t>
      </w:r>
      <w:r w:rsidRPr="00BB7D6C">
        <w:rPr>
          <w:rFonts w:cstheme="minorHAnsi"/>
          <w:b/>
          <w:bCs/>
        </w:rPr>
        <w:t xml:space="preserve">: types and numbers of </w:t>
      </w:r>
      <w:r w:rsidR="008F71B4" w:rsidRPr="00BB7D6C">
        <w:rPr>
          <w:rFonts w:cstheme="minorHAnsi"/>
          <w:b/>
          <w:bCs/>
        </w:rPr>
        <w:t>C</w:t>
      </w:r>
      <w:r w:rsidR="008532BB">
        <w:rPr>
          <w:rFonts w:cstheme="minorHAnsi"/>
          <w:b/>
          <w:bCs/>
        </w:rPr>
        <w:t xml:space="preserve">ommunal </w:t>
      </w:r>
      <w:r w:rsidR="008F71B4" w:rsidRPr="00BB7D6C">
        <w:rPr>
          <w:rFonts w:cstheme="minorHAnsi"/>
          <w:b/>
          <w:bCs/>
        </w:rPr>
        <w:t>E</w:t>
      </w:r>
      <w:r w:rsidR="008532BB">
        <w:rPr>
          <w:rFonts w:cstheme="minorHAnsi"/>
          <w:b/>
          <w:bCs/>
        </w:rPr>
        <w:t>stablishment</w:t>
      </w:r>
      <w:r w:rsidR="008F71B4" w:rsidRPr="00BB7D6C">
        <w:rPr>
          <w:rFonts w:cstheme="minorHAnsi"/>
          <w:b/>
          <w:bCs/>
        </w:rPr>
        <w:t>s</w:t>
      </w:r>
      <w:r w:rsidRPr="00BB7D6C">
        <w:rPr>
          <w:rFonts w:cstheme="minorHAnsi"/>
          <w:b/>
          <w:bCs/>
        </w:rPr>
        <w:t xml:space="preserve">, </w:t>
      </w:r>
      <w:r w:rsidR="008F71B4" w:rsidRPr="00BB7D6C">
        <w:rPr>
          <w:rFonts w:cstheme="minorHAnsi"/>
          <w:b/>
          <w:bCs/>
        </w:rPr>
        <w:t xml:space="preserve">usually </w:t>
      </w:r>
      <w:r w:rsidRPr="00BB7D6C">
        <w:rPr>
          <w:rFonts w:cstheme="minorHAnsi"/>
          <w:b/>
          <w:bCs/>
        </w:rPr>
        <w:t>resident</w:t>
      </w:r>
      <w:r w:rsidR="008F71B4" w:rsidRPr="00BB7D6C">
        <w:rPr>
          <w:rFonts w:cstheme="minorHAnsi"/>
          <w:b/>
          <w:bCs/>
        </w:rPr>
        <w:t xml:space="preserve"> </w:t>
      </w:r>
      <w:proofErr w:type="spellStart"/>
      <w:r w:rsidR="008F71B4" w:rsidRPr="00BB7D6C">
        <w:rPr>
          <w:rFonts w:cstheme="minorHAnsi"/>
          <w:b/>
          <w:bCs/>
        </w:rPr>
        <w:t>pop</w:t>
      </w:r>
      <w:r w:rsidR="008532BB">
        <w:rPr>
          <w:rFonts w:cstheme="minorHAnsi"/>
          <w:b/>
          <w:bCs/>
        </w:rPr>
        <w:t>’</w:t>
      </w:r>
      <w:r w:rsidR="008F71B4" w:rsidRPr="00BB7D6C">
        <w:rPr>
          <w:rFonts w:cstheme="minorHAnsi"/>
          <w:b/>
          <w:bCs/>
        </w:rPr>
        <w:t>n</w:t>
      </w:r>
      <w:proofErr w:type="spellEnd"/>
      <w:r w:rsidRPr="00BB7D6C">
        <w:rPr>
          <w:rFonts w:cstheme="minorHAnsi"/>
          <w:b/>
          <w:bCs/>
        </w:rPr>
        <w:t>, 2011 Census</w:t>
      </w:r>
    </w:p>
    <w:tbl>
      <w:tblPr>
        <w:tblW w:w="8929" w:type="dxa"/>
        <w:tblLayout w:type="fixed"/>
        <w:tblCellMar>
          <w:left w:w="0" w:type="dxa"/>
          <w:right w:w="0" w:type="dxa"/>
        </w:tblCellMar>
        <w:tblLook w:val="04A0" w:firstRow="1" w:lastRow="0" w:firstColumn="1" w:lastColumn="0" w:noHBand="0" w:noVBand="1"/>
      </w:tblPr>
      <w:tblGrid>
        <w:gridCol w:w="2689"/>
        <w:gridCol w:w="960"/>
        <w:gridCol w:w="960"/>
        <w:gridCol w:w="600"/>
        <w:gridCol w:w="600"/>
        <w:gridCol w:w="960"/>
        <w:gridCol w:w="960"/>
        <w:gridCol w:w="600"/>
        <w:gridCol w:w="600"/>
      </w:tblGrid>
      <w:tr w:rsidR="000106F9" w14:paraId="3C2AEC88" w14:textId="77777777" w:rsidTr="00B3111D">
        <w:trPr>
          <w:trHeight w:val="98"/>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tcPr>
          <w:p w14:paraId="2FB4E323" w14:textId="1849B1EB" w:rsidR="000106F9" w:rsidRPr="00674C92" w:rsidRDefault="000106F9" w:rsidP="000106F9">
            <w:pPr>
              <w:spacing w:after="0"/>
              <w:rPr>
                <w:rFonts w:ascii="Verdana" w:hAnsi="Verdana" w:cs="Calibri"/>
                <w:sz w:val="16"/>
                <w:szCs w:val="16"/>
              </w:rPr>
            </w:pPr>
            <w:r>
              <w:rPr>
                <w:rFonts w:ascii="Verdana" w:hAnsi="Verdana" w:cs="Calibri"/>
                <w:sz w:val="16"/>
                <w:szCs w:val="16"/>
              </w:rPr>
              <w:t>Type</w:t>
            </w:r>
          </w:p>
        </w:tc>
        <w:tc>
          <w:tcPr>
            <w:tcW w:w="3120" w:type="dxa"/>
            <w:gridSpan w:val="4"/>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1D2B3EF" w14:textId="0F740BF8" w:rsidR="000106F9" w:rsidRPr="00674C92" w:rsidRDefault="000106F9" w:rsidP="000106F9">
            <w:pPr>
              <w:spacing w:after="0"/>
              <w:rPr>
                <w:rFonts w:ascii="Calibri" w:hAnsi="Calibri" w:cs="Calibri"/>
                <w:color w:val="000000"/>
                <w:sz w:val="16"/>
                <w:szCs w:val="16"/>
              </w:rPr>
            </w:pPr>
            <w:r>
              <w:rPr>
                <w:rFonts w:ascii="Verdana" w:hAnsi="Verdana" w:cs="Calibri"/>
                <w:sz w:val="16"/>
                <w:szCs w:val="16"/>
              </w:rPr>
              <w:t># establishments</w:t>
            </w:r>
          </w:p>
        </w:tc>
        <w:tc>
          <w:tcPr>
            <w:tcW w:w="3120" w:type="dxa"/>
            <w:gridSpan w:val="4"/>
            <w:tcBorders>
              <w:top w:val="nil"/>
              <w:left w:val="nil"/>
              <w:bottom w:val="nil"/>
              <w:right w:val="single" w:sz="4" w:space="0" w:color="auto"/>
            </w:tcBorders>
            <w:shd w:val="clear" w:color="auto" w:fill="auto"/>
            <w:noWrap/>
            <w:tcMar>
              <w:top w:w="15" w:type="dxa"/>
              <w:left w:w="15" w:type="dxa"/>
              <w:bottom w:w="0" w:type="dxa"/>
              <w:right w:w="15" w:type="dxa"/>
            </w:tcMar>
            <w:vAlign w:val="bottom"/>
          </w:tcPr>
          <w:p w14:paraId="41B44795" w14:textId="41BC6383" w:rsidR="000106F9" w:rsidRPr="00674C92" w:rsidRDefault="000106F9" w:rsidP="000106F9">
            <w:pPr>
              <w:spacing w:after="0"/>
              <w:rPr>
                <w:rFonts w:ascii="Calibri" w:hAnsi="Calibri" w:cs="Calibri"/>
                <w:color w:val="000000"/>
                <w:sz w:val="16"/>
                <w:szCs w:val="16"/>
              </w:rPr>
            </w:pPr>
            <w:r>
              <w:rPr>
                <w:rFonts w:ascii="Calibri" w:hAnsi="Calibri" w:cs="Calibri"/>
                <w:color w:val="000000"/>
                <w:sz w:val="16"/>
                <w:szCs w:val="16"/>
              </w:rPr>
              <w:t># people</w:t>
            </w:r>
          </w:p>
        </w:tc>
      </w:tr>
      <w:tr w:rsidR="000106F9" w14:paraId="12DA0314" w14:textId="77777777" w:rsidTr="000106F9">
        <w:trPr>
          <w:trHeight w:val="98"/>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10B993EA"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All categories</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65AA04BD" w14:textId="5325E995"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59,032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684B75A" w14:textId="77777777" w:rsidR="000106F9" w:rsidRPr="00674C92" w:rsidRDefault="000106F9" w:rsidP="000106F9">
            <w:pPr>
              <w:spacing w:after="0"/>
              <w:rPr>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7AD8BA" w14:textId="77777777" w:rsidR="000106F9" w:rsidRPr="00674C92" w:rsidRDefault="000106F9" w:rsidP="000106F9">
            <w:pPr>
              <w:spacing w:after="0"/>
              <w:rPr>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FD93A07"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4D52E7C" w14:textId="02ECE13C"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1,004,799</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16515C0" w14:textId="77777777" w:rsidR="000106F9" w:rsidRPr="00674C92" w:rsidRDefault="000106F9" w:rsidP="000106F9">
            <w:pPr>
              <w:spacing w:after="0"/>
              <w:rPr>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E004442" w14:textId="77777777" w:rsidR="000106F9" w:rsidRPr="00674C92" w:rsidRDefault="000106F9" w:rsidP="000106F9">
            <w:pPr>
              <w:spacing w:after="0"/>
              <w:rPr>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B478C31"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2B754F6E"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0B4D07C"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Medical and care establishment: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C3B7337" w14:textId="707EE001"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24,626</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FBFCE8E" w14:textId="77777777" w:rsidR="000106F9" w:rsidRPr="00674C92" w:rsidRDefault="000106F9" w:rsidP="000106F9">
            <w:pPr>
              <w:spacing w:after="0"/>
              <w:rPr>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C642C05" w14:textId="77777777" w:rsidR="000106F9" w:rsidRPr="00674C92" w:rsidRDefault="000106F9" w:rsidP="000106F9">
            <w:pPr>
              <w:spacing w:after="0"/>
              <w:rPr>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9F9C78F"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tcPr>
          <w:p w14:paraId="61D270D5" w14:textId="54896714"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420,280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13F78D0" w14:textId="77777777" w:rsidR="000106F9" w:rsidRPr="00674C92" w:rsidRDefault="000106F9" w:rsidP="000106F9">
            <w:pPr>
              <w:spacing w:after="0"/>
              <w:rPr>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B0AB0CE" w14:textId="77777777" w:rsidR="000106F9" w:rsidRPr="00674C92" w:rsidRDefault="000106F9" w:rsidP="000106F9">
            <w:pPr>
              <w:spacing w:after="0"/>
              <w:rPr>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42DC898"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76F5F9FA"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E74EB21"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NHS: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43F0221"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1,504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0417F6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BC0B2C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9891BA"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D22830C"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11,075</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00A1065"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D23AC8A"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C9EE64C"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37C6C2A5"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583DC23"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General hospital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3D67AA3"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62B86A0"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390</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ED85F9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DD74DC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EB1F081"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B6463C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1,570</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5556846" w14:textId="77777777"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88DECEB"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23BCF70E"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F261486"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Mental health hospital/unit (including secure units)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7DB4111"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15BF2C1"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516</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F7CBE3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F991CBD"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5D2D1F8"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3CDD8E1"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7,430</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B061C03" w14:textId="77777777"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46D64B2"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7EC1BBB0"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235E8744"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 hospital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078A560"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F6D20A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598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288B6DA8"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7FA9396"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EE8DFE6"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6E231B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2,075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E99943F" w14:textId="77777777"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4D8DDC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7CE5DA71"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694A544F"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Local Authority: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670CE98"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1,511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0B2854B"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BB0738D"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B4DB1E0"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CAE630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18,532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91ADA1D"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262E760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F73EA06"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6C14F60F"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18FA2155"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Children's home (including secure units)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F8B0FCD"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4E9FA1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298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F2B732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0ECBD1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B47A3A9"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65E6C1A"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1,117</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F65F5E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96FA8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0FD06A2B"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B309D6C"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Care home with nursing</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B2A6267"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40DB71F"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62</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D3718D2"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5C0142B"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D914B22"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9FC316B"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1,614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B009616"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08A9704"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58DED167"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985B4E2"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Care home without nursing</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7655063"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4C9AC65"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941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7E7950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A4C1A0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F852D12"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31ED80B"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14,699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52E2EE"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3D8A27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1DB6DA30"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7145294"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 home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9F83B5D"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30A478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210</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C672A0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CC572BD"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37C53D3"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3A8C362"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1,102</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5C587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DBBEE6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0B5F12F2"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0ADD3051"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Registered Social Landlord/Housing Association: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92A858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614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F51B2E8"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C495BD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5549D13"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976F530"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6,194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3A8F559"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D9390B"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F6E0915"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6B7117C0"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96676C0"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Home or hostel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7643BEB"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B5B65C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429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5BB6F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58611D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494BB87"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8EB0D06"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4,559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2C5F76F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64E9FA"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6907FA16"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6CA90B39"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Sheltered housing only</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23E7C1A"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622BEF5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185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A8922FC"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A10039A"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EB44CC8"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5F27996"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1,635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2F3CAB"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9374968"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1D277771"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2121FFD"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E4119A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20,997</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282272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626182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36%</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E798774"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202D17B"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384,479</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12AFD54"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2945485A"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38%</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1F55E17"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265DFC33"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0E1DF0C9"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Care home with nursing</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73D74C6"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BB58B5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4,216</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EAFB0BE"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51C59F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7%</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6FF7B96"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2351A42"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149,834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A3D3E0E"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825E06"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15%</w:t>
            </w:r>
          </w:p>
        </w:tc>
      </w:tr>
      <w:tr w:rsidR="000106F9" w14:paraId="6B25435A"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EA0F934"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Care home without nursing</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4125DCB"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FA500E0"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14,225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81F6556"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77F48C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24%</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9FBB3C3"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82BED1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215,518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833A6D4"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0940F8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21%</w:t>
            </w:r>
          </w:p>
        </w:tc>
      </w:tr>
      <w:tr w:rsidR="000106F9" w14:paraId="3CC788AD"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0F95B734"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Children's home (including secure units)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B2A4E56"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10C1195"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596</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70B60E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A90C38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76C8276"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8D5D151"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2,754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DCBF235"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417B6AB"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1FA62E87"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DD3246C"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Mental health hospital/unit (including secure units)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BBD7A0B"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EFFB942"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316</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372FAD5"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D0D9FC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47C761"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0B8A6E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5,363</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6E7135B"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9DE491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174E95EA"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553B59A"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 hospital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3E83960"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EEDC86E"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411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2EF26A"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B1686CE"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307B9C9"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A6F1DFA"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2,618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3DDBE0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CCF49C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3A6CB181"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3CD9E915" w14:textId="77777777" w:rsidR="000106F9" w:rsidRPr="00674C92" w:rsidRDefault="000106F9" w:rsidP="000106F9">
            <w:pPr>
              <w:spacing w:after="0"/>
              <w:rPr>
                <w:rFonts w:ascii="Verdana" w:hAnsi="Verdana" w:cs="Calibri"/>
                <w:sz w:val="16"/>
                <w:szCs w:val="16"/>
              </w:rPr>
            </w:pPr>
            <w:proofErr w:type="gramStart"/>
            <w:r w:rsidRPr="00674C92">
              <w:rPr>
                <w:rFonts w:ascii="Verdana" w:hAnsi="Verdana" w:cs="Calibri"/>
                <w:sz w:val="16"/>
                <w:szCs w:val="16"/>
              </w:rPr>
              <w:t>Other</w:t>
            </w:r>
            <w:proofErr w:type="gramEnd"/>
            <w:r w:rsidRPr="00674C92">
              <w:rPr>
                <w:rFonts w:ascii="Verdana" w:hAnsi="Verdana" w:cs="Calibri"/>
                <w:sz w:val="16"/>
                <w:szCs w:val="16"/>
              </w:rPr>
              <w:t xml:space="preserve"> establishment</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C0E21FC"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53AA0C1"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1,233</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5EEA5"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111045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291B0E3"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6A3BCDB4"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8,392</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4F590C"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617CEFD"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56BE55E4"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6E2636C" w14:textId="77777777" w:rsidR="000106F9" w:rsidRPr="00674C92" w:rsidRDefault="000106F9" w:rsidP="000106F9">
            <w:pPr>
              <w:spacing w:after="0"/>
              <w:rPr>
                <w:rFonts w:ascii="Verdana" w:hAnsi="Verdana" w:cs="Calibri"/>
                <w:sz w:val="16"/>
                <w:szCs w:val="16"/>
              </w:rPr>
            </w:pPr>
            <w:proofErr w:type="gramStart"/>
            <w:r w:rsidRPr="00674C92">
              <w:rPr>
                <w:rFonts w:ascii="Verdana" w:hAnsi="Verdana" w:cs="Calibri"/>
                <w:sz w:val="16"/>
                <w:szCs w:val="16"/>
              </w:rPr>
              <w:t>Other</w:t>
            </w:r>
            <w:proofErr w:type="gramEnd"/>
            <w:r w:rsidRPr="00674C92">
              <w:rPr>
                <w:rFonts w:ascii="Verdana" w:hAnsi="Verdana" w:cs="Calibri"/>
                <w:sz w:val="16"/>
                <w:szCs w:val="16"/>
              </w:rPr>
              <w:t xml:space="preserve"> establishment: Total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1298CC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27,269</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20A8429" w14:textId="77777777"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87CF8E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46%</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D649D5D"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DA689F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572,438</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907FA50" w14:textId="77777777"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21A9546"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57%</w:t>
            </w: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0DD5979"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r w:rsidR="000106F9" w14:paraId="164FF1D8"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EF201FD"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Defence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DDE79CE"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AF3BC96"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651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3969DE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435B2B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DE5BEC5"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1D47B49"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44,048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F8A72B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D5EBB9A"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4%</w:t>
            </w:r>
          </w:p>
        </w:tc>
      </w:tr>
      <w:tr w:rsidR="000106F9" w14:paraId="63E60DCC"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13FD985B"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Prison service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EA89C81"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588D47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319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D4C7ECD"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AA94B9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23EBA247"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1BD32B2"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53,335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24E9347"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B7508F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5%</w:t>
            </w:r>
          </w:p>
        </w:tc>
      </w:tr>
      <w:tr w:rsidR="000106F9" w14:paraId="448E4AD4"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0BAC470B"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Approved premises (probation/bail hostel)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6B82AEB"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253589B"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79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127B06FB"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4C7886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28A5A"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712774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1,161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A7613A4"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EDC4D4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34651649"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21D98846"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Detention centres and other detention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D5C5B01"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B1BDBF4"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136</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6D1E805"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DBEF37E"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71B33C2"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99D7423"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11,994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287D5AAD"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C0C715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1CE2C20D"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2514B5C7"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Education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F7F3439"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E03531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4,837</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3098424C"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C343161"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8%</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497C07"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B27C86B"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387,681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040B3B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0D3A9E9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39%</w:t>
            </w:r>
          </w:p>
        </w:tc>
      </w:tr>
      <w:tr w:rsidR="000106F9" w14:paraId="10EC5AD8"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23B333B" w14:textId="07791FC1"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Hotel: guest house; B&amp;B; youth hostel</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6BF08C25"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63D482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15,705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806AD0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327E438"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27%</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FBA085F"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2EDFFB35"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25,262</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61B4D9CC"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2145421"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w:t>
            </w:r>
          </w:p>
        </w:tc>
      </w:tr>
      <w:tr w:rsidR="000106F9" w14:paraId="487BDEA6"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665D6D3"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Hostel or temporary shelter for the homeless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6434C54"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ED4126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1,575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8D3A641"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A9DF077"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3%</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62F26F4"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09F6448C"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21,574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7B06389"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4E74CD8"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r>
      <w:tr w:rsidR="000106F9" w14:paraId="02C71934"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3195A86"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Holiday accommodation (for example holiday parks)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6B6551F"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BEC851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939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BBB974E"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6A86925"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4E5227D"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6568D818"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2,841</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023703E3"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39CD5E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73DB6E96"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2B1E83EF"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 travel or temporary accommodation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01B8934"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4B6B7AF6"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852</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5591EDC"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701C28C"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BF43C2D"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63B5915E"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4,029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796A947"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9E8D25F"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3CC8A173"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442E55DF"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Religious</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FD73DA4"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F64C060"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625</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7351032"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9BB289B"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64201CA"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D4B4D3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5,730</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CDF1977"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5E0D142"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305A15BC"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77E695C3"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Staff/worker accommodation only</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58BB056"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1AF8B134"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588</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51B2E930"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7A8B359"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AB5523"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7BEDFD72"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4,759</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74210788"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22AD5D5"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0%</w:t>
            </w:r>
          </w:p>
        </w:tc>
      </w:tr>
      <w:tr w:rsidR="000106F9" w14:paraId="4766FCD4"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0B00A079"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Other</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05ECE17" w14:textId="77777777" w:rsidR="000106F9" w:rsidRPr="00674C92" w:rsidRDefault="000106F9" w:rsidP="000106F9">
            <w:pPr>
              <w:spacing w:after="0"/>
              <w:rPr>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5014F53D"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963</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F10F76F"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8F1301E"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2%</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D6DFD21" w14:textId="77777777" w:rsidR="000106F9" w:rsidRPr="00674C92" w:rsidRDefault="000106F9" w:rsidP="000106F9">
            <w:pPr>
              <w:spacing w:after="0"/>
              <w:rPr>
                <w:rFonts w:ascii="Calibri" w:hAnsi="Calibri" w:cs="Calibri"/>
                <w:color w:val="000000"/>
                <w:sz w:val="16"/>
                <w:szCs w:val="1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F94AC5C" w14:textId="77777777" w:rsidR="000106F9" w:rsidRPr="00674C92" w:rsidRDefault="000106F9" w:rsidP="000106F9">
            <w:pPr>
              <w:spacing w:after="0"/>
              <w:jc w:val="right"/>
              <w:rPr>
                <w:rFonts w:ascii="Verdana" w:hAnsi="Verdana" w:cs="Calibri"/>
                <w:sz w:val="16"/>
                <w:szCs w:val="16"/>
              </w:rPr>
            </w:pPr>
            <w:r w:rsidRPr="00674C92">
              <w:rPr>
                <w:rFonts w:ascii="Verdana" w:hAnsi="Verdana" w:cs="Calibri"/>
                <w:sz w:val="16"/>
                <w:szCs w:val="16"/>
              </w:rPr>
              <w:t>10,024</w:t>
            </w:r>
          </w:p>
        </w:tc>
        <w:tc>
          <w:tcPr>
            <w:tcW w:w="600" w:type="dxa"/>
            <w:tcBorders>
              <w:top w:val="nil"/>
              <w:left w:val="nil"/>
              <w:bottom w:val="nil"/>
              <w:right w:val="nil"/>
            </w:tcBorders>
            <w:shd w:val="clear" w:color="auto" w:fill="auto"/>
            <w:noWrap/>
            <w:tcMar>
              <w:top w:w="15" w:type="dxa"/>
              <w:left w:w="15" w:type="dxa"/>
              <w:bottom w:w="0" w:type="dxa"/>
              <w:right w:w="15" w:type="dxa"/>
            </w:tcMar>
            <w:vAlign w:val="bottom"/>
            <w:hideMark/>
          </w:tcPr>
          <w:p w14:paraId="45A5294D" w14:textId="77777777" w:rsidR="000106F9" w:rsidRPr="00674C92" w:rsidRDefault="000106F9" w:rsidP="000106F9">
            <w:pPr>
              <w:spacing w:after="0"/>
              <w:jc w:val="right"/>
              <w:rPr>
                <w:rFonts w:ascii="Verdana" w:hAnsi="Verdana" w:cs="Calibri"/>
                <w:sz w:val="16"/>
                <w:szCs w:val="16"/>
              </w:rPr>
            </w:pPr>
          </w:p>
        </w:tc>
        <w:tc>
          <w:tcPr>
            <w:tcW w:w="600"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C2E4DAE"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r>
      <w:tr w:rsidR="000106F9" w14:paraId="32BA452A" w14:textId="77777777" w:rsidTr="000106F9">
        <w:trPr>
          <w:trHeight w:val="300"/>
        </w:trPr>
        <w:tc>
          <w:tcPr>
            <w:tcW w:w="2689" w:type="dxa"/>
            <w:tcBorders>
              <w:top w:val="nil"/>
              <w:left w:val="single" w:sz="4" w:space="0" w:color="auto"/>
              <w:bottom w:val="single" w:sz="4" w:space="0" w:color="auto"/>
              <w:right w:val="single" w:sz="4" w:space="0" w:color="auto"/>
            </w:tcBorders>
            <w:shd w:val="clear" w:color="000000" w:fill="F7F7F7"/>
            <w:noWrap/>
            <w:tcMar>
              <w:top w:w="15" w:type="dxa"/>
              <w:left w:w="15" w:type="dxa"/>
              <w:bottom w:w="0" w:type="dxa"/>
              <w:right w:w="15" w:type="dxa"/>
            </w:tcMar>
            <w:vAlign w:val="center"/>
            <w:hideMark/>
          </w:tcPr>
          <w:p w14:paraId="54FE2B27" w14:textId="77777777" w:rsidR="000106F9" w:rsidRPr="00674C92" w:rsidRDefault="000106F9" w:rsidP="000106F9">
            <w:pPr>
              <w:spacing w:after="0"/>
              <w:rPr>
                <w:rFonts w:ascii="Verdana" w:hAnsi="Verdana" w:cs="Calibri"/>
                <w:sz w:val="16"/>
                <w:szCs w:val="16"/>
              </w:rPr>
            </w:pPr>
            <w:r w:rsidRPr="00674C92">
              <w:rPr>
                <w:rFonts w:ascii="Verdana" w:hAnsi="Verdana" w:cs="Calibri"/>
                <w:sz w:val="16"/>
                <w:szCs w:val="16"/>
              </w:rPr>
              <w:t>Establishment not stated</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0868963"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7,137</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4516AB1" w14:textId="4792963F" w:rsidR="000106F9" w:rsidRPr="00674C92" w:rsidRDefault="000106F9" w:rsidP="000106F9">
            <w:pPr>
              <w:spacing w:after="0"/>
              <w:jc w:val="center"/>
              <w:rPr>
                <w:rFonts w:ascii="Calibri" w:hAnsi="Calibri" w:cs="Calibri"/>
                <w:color w:val="000000"/>
                <w:sz w:val="16"/>
                <w:szCs w:val="16"/>
              </w:rPr>
            </w:pPr>
          </w:p>
        </w:tc>
        <w:tc>
          <w:tcPr>
            <w:tcW w:w="6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76C5F8"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12%</w:t>
            </w:r>
          </w:p>
        </w:tc>
        <w:tc>
          <w:tcPr>
            <w:tcW w:w="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58161"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EC1FA10"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12,081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A31759" w14:textId="43D0AB3B" w:rsidR="000106F9" w:rsidRPr="00674C92" w:rsidRDefault="000106F9" w:rsidP="000106F9">
            <w:pPr>
              <w:spacing w:after="0"/>
              <w:jc w:val="right"/>
              <w:rPr>
                <w:rFonts w:ascii="Calibri" w:hAnsi="Calibri" w:cs="Calibri"/>
                <w:color w:val="000000"/>
                <w:sz w:val="16"/>
                <w:szCs w:val="16"/>
              </w:rPr>
            </w:pPr>
          </w:p>
        </w:tc>
        <w:tc>
          <w:tcPr>
            <w:tcW w:w="6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C37B96" w14:textId="77777777" w:rsidR="000106F9" w:rsidRPr="00674C92" w:rsidRDefault="000106F9" w:rsidP="000106F9">
            <w:pPr>
              <w:spacing w:after="0"/>
              <w:jc w:val="right"/>
              <w:rPr>
                <w:rFonts w:ascii="Calibri" w:hAnsi="Calibri" w:cs="Calibri"/>
                <w:color w:val="000000"/>
                <w:sz w:val="16"/>
                <w:szCs w:val="16"/>
              </w:rPr>
            </w:pPr>
            <w:r w:rsidRPr="00674C92">
              <w:rPr>
                <w:rFonts w:ascii="Calibri" w:hAnsi="Calibri" w:cs="Calibri"/>
                <w:color w:val="000000"/>
                <w:sz w:val="16"/>
                <w:szCs w:val="16"/>
              </w:rPr>
              <w:t>1%</w:t>
            </w:r>
          </w:p>
        </w:tc>
        <w:tc>
          <w:tcPr>
            <w:tcW w:w="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9038F" w14:textId="77777777" w:rsidR="000106F9" w:rsidRPr="00674C92" w:rsidRDefault="000106F9" w:rsidP="000106F9">
            <w:pPr>
              <w:spacing w:after="0"/>
              <w:rPr>
                <w:rFonts w:ascii="Calibri" w:hAnsi="Calibri" w:cs="Calibri"/>
                <w:color w:val="000000"/>
                <w:sz w:val="16"/>
                <w:szCs w:val="16"/>
              </w:rPr>
            </w:pPr>
            <w:r w:rsidRPr="00674C92">
              <w:rPr>
                <w:rFonts w:ascii="Calibri" w:hAnsi="Calibri" w:cs="Calibri"/>
                <w:color w:val="000000"/>
                <w:sz w:val="16"/>
                <w:szCs w:val="16"/>
              </w:rPr>
              <w:t> </w:t>
            </w:r>
          </w:p>
        </w:tc>
      </w:tr>
    </w:tbl>
    <w:p w14:paraId="34ED892F" w14:textId="26342C25" w:rsidR="00772E8D" w:rsidRPr="00384D87" w:rsidRDefault="00674C92" w:rsidP="00772E8D">
      <w:pPr>
        <w:rPr>
          <w:b/>
        </w:rPr>
      </w:pPr>
      <w:r>
        <w:rPr>
          <w:rFonts w:cstheme="minorHAnsi"/>
        </w:rPr>
        <w:lastRenderedPageBreak/>
        <w:t xml:space="preserve"> </w:t>
      </w:r>
      <w:r w:rsidR="00772E8D" w:rsidRPr="00384D87">
        <w:rPr>
          <w:b/>
        </w:rPr>
        <w:t xml:space="preserve">Table </w:t>
      </w:r>
      <w:r w:rsidR="008532BB">
        <w:rPr>
          <w:b/>
        </w:rPr>
        <w:t>D</w:t>
      </w:r>
      <w:r w:rsidR="00772E8D">
        <w:rPr>
          <w:b/>
        </w:rPr>
        <w:t>2</w:t>
      </w:r>
      <w:r w:rsidR="00772E8D" w:rsidRPr="00384D87">
        <w:rPr>
          <w:b/>
        </w:rPr>
        <w:t xml:space="preserve"> – Counts, estimates and </w:t>
      </w:r>
      <w:r w:rsidR="00772E8D">
        <w:rPr>
          <w:b/>
        </w:rPr>
        <w:t>adjustment</w:t>
      </w:r>
      <w:r w:rsidR="00772E8D" w:rsidRPr="00384D87">
        <w:rPr>
          <w:b/>
        </w:rPr>
        <w:t xml:space="preserve"> of usual resident in small C</w:t>
      </w:r>
      <w:r w:rsidR="008532BB">
        <w:rPr>
          <w:b/>
        </w:rPr>
        <w:t xml:space="preserve">ommunal </w:t>
      </w:r>
      <w:r w:rsidR="00772E8D" w:rsidRPr="00384D87">
        <w:rPr>
          <w:b/>
        </w:rPr>
        <w:t>Es</w:t>
      </w:r>
      <w:r w:rsidR="008532BB">
        <w:rPr>
          <w:b/>
        </w:rPr>
        <w:t>tablishments</w:t>
      </w:r>
      <w:r w:rsidR="00772E8D" w:rsidRPr="00384D87">
        <w:rPr>
          <w:b/>
        </w:rPr>
        <w:t>, with response rates, by establishment type</w:t>
      </w:r>
    </w:p>
    <w:tbl>
      <w:tblPr>
        <w:tblW w:w="8474" w:type="dxa"/>
        <w:tblInd w:w="93" w:type="dxa"/>
        <w:tblLook w:val="04A0" w:firstRow="1" w:lastRow="0" w:firstColumn="1" w:lastColumn="0" w:noHBand="0" w:noVBand="1"/>
      </w:tblPr>
      <w:tblGrid>
        <w:gridCol w:w="3560"/>
        <w:gridCol w:w="940"/>
        <w:gridCol w:w="1104"/>
        <w:gridCol w:w="1290"/>
        <w:gridCol w:w="1580"/>
      </w:tblGrid>
      <w:tr w:rsidR="00772E8D" w:rsidRPr="00D02BE1" w14:paraId="0B6E54C5" w14:textId="77777777" w:rsidTr="007D4A4D">
        <w:trPr>
          <w:trHeight w:val="300"/>
        </w:trPr>
        <w:tc>
          <w:tcPr>
            <w:tcW w:w="3560" w:type="dxa"/>
            <w:tcBorders>
              <w:bottom w:val="single" w:sz="4" w:space="0" w:color="auto"/>
            </w:tcBorders>
            <w:shd w:val="clear" w:color="auto" w:fill="auto"/>
            <w:noWrap/>
            <w:vAlign w:val="bottom"/>
            <w:hideMark/>
          </w:tcPr>
          <w:p w14:paraId="17B4AB6A" w14:textId="77777777" w:rsidR="00772E8D" w:rsidRPr="00D02BE1" w:rsidRDefault="00772E8D" w:rsidP="002B1876">
            <w:pPr>
              <w:spacing w:after="0" w:line="240" w:lineRule="auto"/>
              <w:rPr>
                <w:rFonts w:eastAsia="Times New Roman"/>
                <w:b/>
                <w:bCs/>
                <w:lang w:eastAsia="en-GB"/>
              </w:rPr>
            </w:pPr>
            <w:r w:rsidRPr="00D02BE1">
              <w:rPr>
                <w:rFonts w:eastAsia="Times New Roman"/>
                <w:b/>
                <w:bCs/>
                <w:lang w:eastAsia="en-GB"/>
              </w:rPr>
              <w:t>Establishment</w:t>
            </w:r>
          </w:p>
        </w:tc>
        <w:tc>
          <w:tcPr>
            <w:tcW w:w="940" w:type="dxa"/>
            <w:tcBorders>
              <w:bottom w:val="single" w:sz="4" w:space="0" w:color="auto"/>
            </w:tcBorders>
            <w:shd w:val="clear" w:color="auto" w:fill="auto"/>
            <w:noWrap/>
            <w:vAlign w:val="center"/>
            <w:hideMark/>
          </w:tcPr>
          <w:p w14:paraId="0920C519" w14:textId="77777777" w:rsidR="00772E8D" w:rsidRPr="00D02BE1" w:rsidRDefault="00772E8D" w:rsidP="002B1876">
            <w:pPr>
              <w:spacing w:after="0" w:line="240" w:lineRule="auto"/>
              <w:rPr>
                <w:rFonts w:eastAsia="Times New Roman"/>
                <w:b/>
                <w:bCs/>
                <w:lang w:eastAsia="en-GB"/>
              </w:rPr>
            </w:pPr>
            <w:r w:rsidRPr="00D02BE1">
              <w:rPr>
                <w:rFonts w:eastAsia="Times New Roman"/>
                <w:b/>
                <w:bCs/>
                <w:lang w:eastAsia="en-GB"/>
              </w:rPr>
              <w:t>Counts</w:t>
            </w:r>
          </w:p>
        </w:tc>
        <w:tc>
          <w:tcPr>
            <w:tcW w:w="1104" w:type="dxa"/>
            <w:tcBorders>
              <w:bottom w:val="single" w:sz="4" w:space="0" w:color="auto"/>
            </w:tcBorders>
            <w:shd w:val="clear" w:color="auto" w:fill="auto"/>
            <w:noWrap/>
            <w:vAlign w:val="center"/>
            <w:hideMark/>
          </w:tcPr>
          <w:p w14:paraId="4935FD6A" w14:textId="77777777" w:rsidR="00772E8D" w:rsidRPr="00D02BE1" w:rsidRDefault="00772E8D" w:rsidP="002B1876">
            <w:pPr>
              <w:spacing w:after="0" w:line="240" w:lineRule="auto"/>
              <w:rPr>
                <w:rFonts w:eastAsia="Times New Roman"/>
                <w:b/>
                <w:bCs/>
                <w:lang w:eastAsia="en-GB"/>
              </w:rPr>
            </w:pPr>
            <w:r w:rsidRPr="00D02BE1">
              <w:rPr>
                <w:rFonts w:eastAsia="Times New Roman"/>
                <w:b/>
                <w:bCs/>
                <w:lang w:eastAsia="en-GB"/>
              </w:rPr>
              <w:t>Estimates</w:t>
            </w:r>
          </w:p>
        </w:tc>
        <w:tc>
          <w:tcPr>
            <w:tcW w:w="1290" w:type="dxa"/>
            <w:tcBorders>
              <w:bottom w:val="single" w:sz="4" w:space="0" w:color="auto"/>
            </w:tcBorders>
            <w:shd w:val="clear" w:color="auto" w:fill="auto"/>
            <w:noWrap/>
            <w:vAlign w:val="center"/>
            <w:hideMark/>
          </w:tcPr>
          <w:p w14:paraId="3747A13A" w14:textId="77777777" w:rsidR="00772E8D" w:rsidRPr="00D02BE1" w:rsidRDefault="00772E8D" w:rsidP="002B1876">
            <w:pPr>
              <w:spacing w:after="0" w:line="240" w:lineRule="auto"/>
              <w:rPr>
                <w:rFonts w:eastAsia="Times New Roman"/>
                <w:b/>
                <w:bCs/>
                <w:lang w:eastAsia="en-GB"/>
              </w:rPr>
            </w:pPr>
            <w:r w:rsidRPr="00D02BE1">
              <w:rPr>
                <w:rFonts w:eastAsia="Times New Roman"/>
                <w:b/>
                <w:bCs/>
                <w:lang w:eastAsia="en-GB"/>
              </w:rPr>
              <w:t>Adjustment</w:t>
            </w:r>
          </w:p>
        </w:tc>
        <w:tc>
          <w:tcPr>
            <w:tcW w:w="1580" w:type="dxa"/>
            <w:tcBorders>
              <w:bottom w:val="single" w:sz="4" w:space="0" w:color="auto"/>
            </w:tcBorders>
            <w:shd w:val="clear" w:color="auto" w:fill="auto"/>
            <w:noWrap/>
            <w:vAlign w:val="center"/>
            <w:hideMark/>
          </w:tcPr>
          <w:p w14:paraId="5201001E" w14:textId="77777777" w:rsidR="00772E8D" w:rsidRPr="00D02BE1" w:rsidRDefault="00772E8D" w:rsidP="002B1876">
            <w:pPr>
              <w:spacing w:after="0" w:line="240" w:lineRule="auto"/>
              <w:rPr>
                <w:rFonts w:eastAsia="Times New Roman"/>
                <w:b/>
                <w:bCs/>
                <w:lang w:eastAsia="en-GB"/>
              </w:rPr>
            </w:pPr>
            <w:r w:rsidRPr="00D02BE1">
              <w:rPr>
                <w:rFonts w:eastAsia="Times New Roman"/>
                <w:b/>
                <w:bCs/>
                <w:lang w:eastAsia="en-GB"/>
              </w:rPr>
              <w:t>Response Rates</w:t>
            </w:r>
          </w:p>
        </w:tc>
      </w:tr>
      <w:tr w:rsidR="00772E8D" w:rsidRPr="00D02BE1" w14:paraId="2C987A85" w14:textId="77777777" w:rsidTr="007D4A4D">
        <w:trPr>
          <w:trHeight w:val="300"/>
        </w:trPr>
        <w:tc>
          <w:tcPr>
            <w:tcW w:w="3560" w:type="dxa"/>
            <w:tcBorders>
              <w:top w:val="single" w:sz="4" w:space="0" w:color="auto"/>
            </w:tcBorders>
            <w:shd w:val="clear" w:color="auto" w:fill="auto"/>
            <w:noWrap/>
            <w:vAlign w:val="bottom"/>
            <w:hideMark/>
          </w:tcPr>
          <w:p w14:paraId="22B6C330"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Boarding Schools</w:t>
            </w:r>
          </w:p>
        </w:tc>
        <w:tc>
          <w:tcPr>
            <w:tcW w:w="940" w:type="dxa"/>
            <w:tcBorders>
              <w:top w:val="single" w:sz="4" w:space="0" w:color="auto"/>
            </w:tcBorders>
            <w:shd w:val="clear" w:color="auto" w:fill="auto"/>
            <w:noWrap/>
            <w:vAlign w:val="bottom"/>
            <w:hideMark/>
          </w:tcPr>
          <w:p w14:paraId="586AD61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12,700</w:t>
            </w:r>
          </w:p>
        </w:tc>
        <w:tc>
          <w:tcPr>
            <w:tcW w:w="1104" w:type="dxa"/>
            <w:tcBorders>
              <w:top w:val="single" w:sz="4" w:space="0" w:color="auto"/>
            </w:tcBorders>
            <w:shd w:val="clear" w:color="auto" w:fill="auto"/>
            <w:noWrap/>
            <w:vAlign w:val="bottom"/>
            <w:hideMark/>
          </w:tcPr>
          <w:p w14:paraId="15A3048C"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13,700</w:t>
            </w:r>
          </w:p>
        </w:tc>
        <w:tc>
          <w:tcPr>
            <w:tcW w:w="1290" w:type="dxa"/>
            <w:tcBorders>
              <w:top w:val="single" w:sz="4" w:space="0" w:color="auto"/>
            </w:tcBorders>
            <w:shd w:val="clear" w:color="auto" w:fill="auto"/>
            <w:noWrap/>
            <w:vAlign w:val="bottom"/>
            <w:hideMark/>
          </w:tcPr>
          <w:p w14:paraId="29F2357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1,000</w:t>
            </w:r>
          </w:p>
        </w:tc>
        <w:tc>
          <w:tcPr>
            <w:tcW w:w="1580" w:type="dxa"/>
            <w:tcBorders>
              <w:top w:val="single" w:sz="4" w:space="0" w:color="auto"/>
            </w:tcBorders>
            <w:shd w:val="clear" w:color="auto" w:fill="auto"/>
            <w:noWrap/>
            <w:vAlign w:val="bottom"/>
            <w:hideMark/>
          </w:tcPr>
          <w:p w14:paraId="4BF90DEF"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93%</w:t>
            </w:r>
          </w:p>
        </w:tc>
      </w:tr>
      <w:tr w:rsidR="00772E8D" w:rsidRPr="00D02BE1" w14:paraId="2F98DD67" w14:textId="77777777" w:rsidTr="007D4A4D">
        <w:trPr>
          <w:trHeight w:val="300"/>
        </w:trPr>
        <w:tc>
          <w:tcPr>
            <w:tcW w:w="3560" w:type="dxa"/>
            <w:shd w:val="clear" w:color="auto" w:fill="auto"/>
            <w:noWrap/>
            <w:vAlign w:val="bottom"/>
            <w:hideMark/>
          </w:tcPr>
          <w:p w14:paraId="70A0FAFC" w14:textId="77777777" w:rsidR="00772E8D" w:rsidRPr="00D02BE1" w:rsidRDefault="00772E8D" w:rsidP="002B1876">
            <w:pPr>
              <w:spacing w:after="0" w:line="240" w:lineRule="auto"/>
              <w:rPr>
                <w:rFonts w:eastAsia="Times New Roman"/>
                <w:lang w:eastAsia="en-GB"/>
              </w:rPr>
            </w:pPr>
            <w:r>
              <w:rPr>
                <w:rFonts w:eastAsia="Times New Roman"/>
                <w:lang w:eastAsia="en-GB"/>
              </w:rPr>
              <w:t>Caravan campsites and m</w:t>
            </w:r>
            <w:r w:rsidRPr="00D02BE1">
              <w:rPr>
                <w:rFonts w:eastAsia="Times New Roman"/>
                <w:lang w:eastAsia="en-GB"/>
              </w:rPr>
              <w:t>arinas</w:t>
            </w:r>
          </w:p>
        </w:tc>
        <w:tc>
          <w:tcPr>
            <w:tcW w:w="940" w:type="dxa"/>
            <w:shd w:val="clear" w:color="auto" w:fill="auto"/>
            <w:noWrap/>
            <w:vAlign w:val="bottom"/>
            <w:hideMark/>
          </w:tcPr>
          <w:p w14:paraId="6AC9780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400</w:t>
            </w:r>
          </w:p>
        </w:tc>
        <w:tc>
          <w:tcPr>
            <w:tcW w:w="1104" w:type="dxa"/>
            <w:shd w:val="clear" w:color="auto" w:fill="auto"/>
            <w:noWrap/>
            <w:vAlign w:val="bottom"/>
            <w:hideMark/>
          </w:tcPr>
          <w:p w14:paraId="4E0D8BEA"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400</w:t>
            </w:r>
          </w:p>
        </w:tc>
        <w:tc>
          <w:tcPr>
            <w:tcW w:w="1290" w:type="dxa"/>
            <w:shd w:val="clear" w:color="auto" w:fill="auto"/>
            <w:noWrap/>
            <w:vAlign w:val="bottom"/>
            <w:hideMark/>
          </w:tcPr>
          <w:p w14:paraId="78BD69D8"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580" w:type="dxa"/>
            <w:shd w:val="clear" w:color="auto" w:fill="auto"/>
            <w:noWrap/>
            <w:vAlign w:val="bottom"/>
            <w:hideMark/>
          </w:tcPr>
          <w:p w14:paraId="15927B8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3813EE35" w14:textId="77777777" w:rsidTr="007D4A4D">
        <w:trPr>
          <w:trHeight w:val="300"/>
        </w:trPr>
        <w:tc>
          <w:tcPr>
            <w:tcW w:w="3560" w:type="dxa"/>
            <w:shd w:val="clear" w:color="auto" w:fill="auto"/>
            <w:noWrap/>
            <w:vAlign w:val="bottom"/>
            <w:hideMark/>
          </w:tcPr>
          <w:p w14:paraId="16729495"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Children</w:t>
            </w:r>
            <w:r>
              <w:rPr>
                <w:rFonts w:eastAsia="Times New Roman"/>
                <w:lang w:eastAsia="en-GB"/>
              </w:rPr>
              <w:t>’</w:t>
            </w:r>
            <w:r w:rsidRPr="00D02BE1">
              <w:rPr>
                <w:rFonts w:eastAsia="Times New Roman"/>
                <w:lang w:eastAsia="en-GB"/>
              </w:rPr>
              <w:t>s homes</w:t>
            </w:r>
          </w:p>
        </w:tc>
        <w:tc>
          <w:tcPr>
            <w:tcW w:w="940" w:type="dxa"/>
            <w:shd w:val="clear" w:color="auto" w:fill="auto"/>
            <w:noWrap/>
            <w:vAlign w:val="bottom"/>
            <w:hideMark/>
          </w:tcPr>
          <w:p w14:paraId="44BADBA4"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3,400</w:t>
            </w:r>
          </w:p>
        </w:tc>
        <w:tc>
          <w:tcPr>
            <w:tcW w:w="1104" w:type="dxa"/>
            <w:shd w:val="clear" w:color="auto" w:fill="auto"/>
            <w:noWrap/>
            <w:vAlign w:val="bottom"/>
            <w:hideMark/>
          </w:tcPr>
          <w:p w14:paraId="4F88EF4E"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3,800</w:t>
            </w:r>
          </w:p>
        </w:tc>
        <w:tc>
          <w:tcPr>
            <w:tcW w:w="1290" w:type="dxa"/>
            <w:shd w:val="clear" w:color="auto" w:fill="auto"/>
            <w:noWrap/>
            <w:vAlign w:val="bottom"/>
            <w:hideMark/>
          </w:tcPr>
          <w:p w14:paraId="53515D2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300</w:t>
            </w:r>
          </w:p>
        </w:tc>
        <w:tc>
          <w:tcPr>
            <w:tcW w:w="1580" w:type="dxa"/>
            <w:shd w:val="clear" w:color="auto" w:fill="auto"/>
            <w:noWrap/>
            <w:vAlign w:val="bottom"/>
            <w:hideMark/>
          </w:tcPr>
          <w:p w14:paraId="73705904"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89%</w:t>
            </w:r>
          </w:p>
        </w:tc>
      </w:tr>
      <w:tr w:rsidR="00772E8D" w:rsidRPr="00D02BE1" w14:paraId="1AE55860" w14:textId="77777777" w:rsidTr="007D4A4D">
        <w:trPr>
          <w:trHeight w:val="300"/>
        </w:trPr>
        <w:tc>
          <w:tcPr>
            <w:tcW w:w="3560" w:type="dxa"/>
            <w:shd w:val="clear" w:color="auto" w:fill="auto"/>
            <w:noWrap/>
            <w:vAlign w:val="bottom"/>
            <w:hideMark/>
          </w:tcPr>
          <w:p w14:paraId="6FA6358D"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Detention accommodation</w:t>
            </w:r>
          </w:p>
        </w:tc>
        <w:tc>
          <w:tcPr>
            <w:tcW w:w="940" w:type="dxa"/>
            <w:shd w:val="clear" w:color="auto" w:fill="auto"/>
            <w:noWrap/>
            <w:vAlign w:val="bottom"/>
            <w:hideMark/>
          </w:tcPr>
          <w:p w14:paraId="56615B4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7,900</w:t>
            </w:r>
          </w:p>
        </w:tc>
        <w:tc>
          <w:tcPr>
            <w:tcW w:w="1104" w:type="dxa"/>
            <w:shd w:val="clear" w:color="auto" w:fill="auto"/>
            <w:noWrap/>
            <w:vAlign w:val="bottom"/>
            <w:hideMark/>
          </w:tcPr>
          <w:p w14:paraId="6FF8AD8E"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8,500</w:t>
            </w:r>
          </w:p>
        </w:tc>
        <w:tc>
          <w:tcPr>
            <w:tcW w:w="1290" w:type="dxa"/>
            <w:shd w:val="clear" w:color="auto" w:fill="auto"/>
            <w:noWrap/>
            <w:vAlign w:val="bottom"/>
            <w:hideMark/>
          </w:tcPr>
          <w:p w14:paraId="322701D8"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600</w:t>
            </w:r>
          </w:p>
        </w:tc>
        <w:tc>
          <w:tcPr>
            <w:tcW w:w="1580" w:type="dxa"/>
            <w:shd w:val="clear" w:color="auto" w:fill="auto"/>
            <w:noWrap/>
            <w:vAlign w:val="bottom"/>
            <w:hideMark/>
          </w:tcPr>
          <w:p w14:paraId="1D7E8C9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93%</w:t>
            </w:r>
          </w:p>
        </w:tc>
      </w:tr>
      <w:tr w:rsidR="00772E8D" w:rsidRPr="00D02BE1" w14:paraId="20CB72CF" w14:textId="77777777" w:rsidTr="007D4A4D">
        <w:trPr>
          <w:trHeight w:val="300"/>
        </w:trPr>
        <w:tc>
          <w:tcPr>
            <w:tcW w:w="3560" w:type="dxa"/>
            <w:shd w:val="clear" w:color="auto" w:fill="auto"/>
            <w:noWrap/>
            <w:vAlign w:val="bottom"/>
            <w:hideMark/>
          </w:tcPr>
          <w:p w14:paraId="6B7C1F95"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Embassies and consulates</w:t>
            </w:r>
          </w:p>
        </w:tc>
        <w:tc>
          <w:tcPr>
            <w:tcW w:w="940" w:type="dxa"/>
            <w:shd w:val="clear" w:color="auto" w:fill="auto"/>
            <w:noWrap/>
            <w:vAlign w:val="bottom"/>
            <w:hideMark/>
          </w:tcPr>
          <w:p w14:paraId="13D486A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104" w:type="dxa"/>
            <w:shd w:val="clear" w:color="auto" w:fill="auto"/>
            <w:noWrap/>
            <w:vAlign w:val="bottom"/>
            <w:hideMark/>
          </w:tcPr>
          <w:p w14:paraId="5B3D6664"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0</w:t>
            </w:r>
          </w:p>
        </w:tc>
        <w:tc>
          <w:tcPr>
            <w:tcW w:w="1290" w:type="dxa"/>
            <w:shd w:val="clear" w:color="auto" w:fill="auto"/>
            <w:noWrap/>
            <w:vAlign w:val="bottom"/>
            <w:hideMark/>
          </w:tcPr>
          <w:p w14:paraId="5D8DE1FE" w14:textId="77777777" w:rsidR="00772E8D" w:rsidRPr="00D02BE1" w:rsidRDefault="00772E8D" w:rsidP="002B1876">
            <w:pPr>
              <w:spacing w:after="0" w:line="240" w:lineRule="auto"/>
              <w:jc w:val="right"/>
              <w:rPr>
                <w:rFonts w:eastAsia="Times New Roman"/>
                <w:lang w:eastAsia="en-GB"/>
              </w:rPr>
            </w:pPr>
            <w:r>
              <w:rPr>
                <w:rFonts w:eastAsia="Times New Roman"/>
                <w:lang w:eastAsia="en-GB"/>
              </w:rPr>
              <w:t>-</w:t>
            </w:r>
          </w:p>
        </w:tc>
        <w:tc>
          <w:tcPr>
            <w:tcW w:w="1580" w:type="dxa"/>
            <w:shd w:val="clear" w:color="auto" w:fill="auto"/>
            <w:noWrap/>
            <w:vAlign w:val="bottom"/>
            <w:hideMark/>
          </w:tcPr>
          <w:p w14:paraId="2723BB0C"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3081CD2B" w14:textId="77777777" w:rsidTr="007D4A4D">
        <w:trPr>
          <w:trHeight w:val="300"/>
        </w:trPr>
        <w:tc>
          <w:tcPr>
            <w:tcW w:w="3560" w:type="dxa"/>
            <w:shd w:val="clear" w:color="auto" w:fill="auto"/>
            <w:noWrap/>
            <w:vAlign w:val="bottom"/>
            <w:hideMark/>
          </w:tcPr>
          <w:p w14:paraId="38003290"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Homes for terminally ill</w:t>
            </w:r>
          </w:p>
        </w:tc>
        <w:tc>
          <w:tcPr>
            <w:tcW w:w="940" w:type="dxa"/>
            <w:shd w:val="clear" w:color="auto" w:fill="auto"/>
            <w:noWrap/>
            <w:vAlign w:val="bottom"/>
            <w:hideMark/>
          </w:tcPr>
          <w:p w14:paraId="7AA07D19"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200</w:t>
            </w:r>
          </w:p>
        </w:tc>
        <w:tc>
          <w:tcPr>
            <w:tcW w:w="1104" w:type="dxa"/>
            <w:shd w:val="clear" w:color="auto" w:fill="auto"/>
            <w:noWrap/>
            <w:vAlign w:val="bottom"/>
            <w:hideMark/>
          </w:tcPr>
          <w:p w14:paraId="79EC3086"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200</w:t>
            </w:r>
          </w:p>
        </w:tc>
        <w:tc>
          <w:tcPr>
            <w:tcW w:w="1290" w:type="dxa"/>
            <w:shd w:val="clear" w:color="auto" w:fill="auto"/>
            <w:noWrap/>
            <w:vAlign w:val="bottom"/>
            <w:hideMark/>
          </w:tcPr>
          <w:p w14:paraId="750E7C0A"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580" w:type="dxa"/>
            <w:shd w:val="clear" w:color="auto" w:fill="auto"/>
            <w:noWrap/>
            <w:vAlign w:val="bottom"/>
            <w:hideMark/>
          </w:tcPr>
          <w:p w14:paraId="47B9731C"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6B7BD7B1" w14:textId="77777777" w:rsidTr="007D4A4D">
        <w:trPr>
          <w:trHeight w:val="300"/>
        </w:trPr>
        <w:tc>
          <w:tcPr>
            <w:tcW w:w="3560" w:type="dxa"/>
            <w:shd w:val="clear" w:color="auto" w:fill="auto"/>
            <w:noWrap/>
            <w:vAlign w:val="bottom"/>
            <w:hideMark/>
          </w:tcPr>
          <w:p w14:paraId="7EA8B5D8"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Hospitals</w:t>
            </w:r>
          </w:p>
        </w:tc>
        <w:tc>
          <w:tcPr>
            <w:tcW w:w="940" w:type="dxa"/>
            <w:shd w:val="clear" w:color="auto" w:fill="auto"/>
            <w:noWrap/>
            <w:vAlign w:val="bottom"/>
            <w:hideMark/>
          </w:tcPr>
          <w:p w14:paraId="29552DC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7,900</w:t>
            </w:r>
          </w:p>
        </w:tc>
        <w:tc>
          <w:tcPr>
            <w:tcW w:w="1104" w:type="dxa"/>
            <w:shd w:val="clear" w:color="auto" w:fill="auto"/>
            <w:noWrap/>
            <w:vAlign w:val="bottom"/>
            <w:hideMark/>
          </w:tcPr>
          <w:p w14:paraId="43C942EB"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8,800</w:t>
            </w:r>
          </w:p>
        </w:tc>
        <w:tc>
          <w:tcPr>
            <w:tcW w:w="1290" w:type="dxa"/>
            <w:shd w:val="clear" w:color="auto" w:fill="auto"/>
            <w:noWrap/>
            <w:vAlign w:val="bottom"/>
            <w:hideMark/>
          </w:tcPr>
          <w:p w14:paraId="1B190A3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800</w:t>
            </w:r>
          </w:p>
        </w:tc>
        <w:tc>
          <w:tcPr>
            <w:tcW w:w="1580" w:type="dxa"/>
            <w:shd w:val="clear" w:color="auto" w:fill="auto"/>
            <w:noWrap/>
            <w:vAlign w:val="bottom"/>
            <w:hideMark/>
          </w:tcPr>
          <w:p w14:paraId="2AAA89F9"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90%</w:t>
            </w:r>
          </w:p>
        </w:tc>
      </w:tr>
      <w:tr w:rsidR="00772E8D" w:rsidRPr="00D02BE1" w14:paraId="53F26D41" w14:textId="77777777" w:rsidTr="007D4A4D">
        <w:trPr>
          <w:trHeight w:val="300"/>
        </w:trPr>
        <w:tc>
          <w:tcPr>
            <w:tcW w:w="3560" w:type="dxa"/>
            <w:shd w:val="clear" w:color="auto" w:fill="auto"/>
            <w:noWrap/>
            <w:vAlign w:val="bottom"/>
            <w:hideMark/>
          </w:tcPr>
          <w:p w14:paraId="090E9106"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Hostel for the homeless</w:t>
            </w:r>
          </w:p>
        </w:tc>
        <w:tc>
          <w:tcPr>
            <w:tcW w:w="940" w:type="dxa"/>
            <w:shd w:val="clear" w:color="auto" w:fill="auto"/>
            <w:noWrap/>
            <w:vAlign w:val="bottom"/>
            <w:hideMark/>
          </w:tcPr>
          <w:p w14:paraId="0EDE4011"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16,100</w:t>
            </w:r>
          </w:p>
        </w:tc>
        <w:tc>
          <w:tcPr>
            <w:tcW w:w="1104" w:type="dxa"/>
            <w:shd w:val="clear" w:color="auto" w:fill="auto"/>
            <w:noWrap/>
            <w:vAlign w:val="bottom"/>
            <w:hideMark/>
          </w:tcPr>
          <w:p w14:paraId="7F4C7815"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18,000</w:t>
            </w:r>
          </w:p>
        </w:tc>
        <w:tc>
          <w:tcPr>
            <w:tcW w:w="1290" w:type="dxa"/>
            <w:shd w:val="clear" w:color="auto" w:fill="auto"/>
            <w:noWrap/>
            <w:vAlign w:val="bottom"/>
            <w:hideMark/>
          </w:tcPr>
          <w:p w14:paraId="33A7A867"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1,900</w:t>
            </w:r>
          </w:p>
        </w:tc>
        <w:tc>
          <w:tcPr>
            <w:tcW w:w="1580" w:type="dxa"/>
            <w:shd w:val="clear" w:color="auto" w:fill="auto"/>
            <w:noWrap/>
            <w:vAlign w:val="bottom"/>
            <w:hideMark/>
          </w:tcPr>
          <w:p w14:paraId="41F44B1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89%</w:t>
            </w:r>
          </w:p>
        </w:tc>
      </w:tr>
      <w:tr w:rsidR="00772E8D" w:rsidRPr="00D02BE1" w14:paraId="537B4A6C" w14:textId="77777777" w:rsidTr="007D4A4D">
        <w:trPr>
          <w:trHeight w:val="300"/>
        </w:trPr>
        <w:tc>
          <w:tcPr>
            <w:tcW w:w="3560" w:type="dxa"/>
            <w:shd w:val="clear" w:color="auto" w:fill="auto"/>
            <w:noWrap/>
            <w:vAlign w:val="bottom"/>
            <w:hideMark/>
          </w:tcPr>
          <w:p w14:paraId="165628AA"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Maternity homes</w:t>
            </w:r>
          </w:p>
        </w:tc>
        <w:tc>
          <w:tcPr>
            <w:tcW w:w="940" w:type="dxa"/>
            <w:shd w:val="clear" w:color="auto" w:fill="auto"/>
            <w:noWrap/>
            <w:vAlign w:val="bottom"/>
            <w:hideMark/>
          </w:tcPr>
          <w:p w14:paraId="0262B144"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104" w:type="dxa"/>
            <w:shd w:val="clear" w:color="auto" w:fill="auto"/>
            <w:noWrap/>
            <w:vAlign w:val="bottom"/>
            <w:hideMark/>
          </w:tcPr>
          <w:p w14:paraId="1F373753"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0</w:t>
            </w:r>
          </w:p>
        </w:tc>
        <w:tc>
          <w:tcPr>
            <w:tcW w:w="1290" w:type="dxa"/>
            <w:shd w:val="clear" w:color="auto" w:fill="auto"/>
            <w:noWrap/>
            <w:vAlign w:val="bottom"/>
            <w:hideMark/>
          </w:tcPr>
          <w:p w14:paraId="245238C8" w14:textId="77777777" w:rsidR="00772E8D" w:rsidRPr="00D02BE1" w:rsidRDefault="00772E8D" w:rsidP="002B1876">
            <w:pPr>
              <w:spacing w:after="0" w:line="240" w:lineRule="auto"/>
              <w:jc w:val="right"/>
              <w:rPr>
                <w:rFonts w:eastAsia="Times New Roman"/>
                <w:lang w:eastAsia="en-GB"/>
              </w:rPr>
            </w:pPr>
            <w:r>
              <w:rPr>
                <w:rFonts w:eastAsia="Times New Roman"/>
                <w:lang w:eastAsia="en-GB"/>
              </w:rPr>
              <w:t>-</w:t>
            </w:r>
          </w:p>
        </w:tc>
        <w:tc>
          <w:tcPr>
            <w:tcW w:w="1580" w:type="dxa"/>
            <w:shd w:val="clear" w:color="auto" w:fill="auto"/>
            <w:noWrap/>
            <w:vAlign w:val="bottom"/>
            <w:hideMark/>
          </w:tcPr>
          <w:p w14:paraId="01592208"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65133DF8" w14:textId="77777777" w:rsidTr="007D4A4D">
        <w:trPr>
          <w:trHeight w:val="300"/>
        </w:trPr>
        <w:tc>
          <w:tcPr>
            <w:tcW w:w="3560" w:type="dxa"/>
            <w:shd w:val="clear" w:color="auto" w:fill="auto"/>
            <w:noWrap/>
            <w:vAlign w:val="bottom"/>
            <w:hideMark/>
          </w:tcPr>
          <w:p w14:paraId="3BE2EFF2"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Mission</w:t>
            </w:r>
          </w:p>
        </w:tc>
        <w:tc>
          <w:tcPr>
            <w:tcW w:w="940" w:type="dxa"/>
            <w:shd w:val="clear" w:color="auto" w:fill="auto"/>
            <w:noWrap/>
            <w:vAlign w:val="bottom"/>
            <w:hideMark/>
          </w:tcPr>
          <w:p w14:paraId="0C1BECA3"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c>
          <w:tcPr>
            <w:tcW w:w="1104" w:type="dxa"/>
            <w:shd w:val="clear" w:color="auto" w:fill="auto"/>
            <w:noWrap/>
            <w:vAlign w:val="bottom"/>
            <w:hideMark/>
          </w:tcPr>
          <w:p w14:paraId="2651D4E6"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100</w:t>
            </w:r>
          </w:p>
        </w:tc>
        <w:tc>
          <w:tcPr>
            <w:tcW w:w="1290" w:type="dxa"/>
            <w:shd w:val="clear" w:color="auto" w:fill="auto"/>
            <w:noWrap/>
            <w:vAlign w:val="bottom"/>
            <w:hideMark/>
          </w:tcPr>
          <w:p w14:paraId="2C61516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580" w:type="dxa"/>
            <w:shd w:val="clear" w:color="auto" w:fill="auto"/>
            <w:noWrap/>
            <w:vAlign w:val="bottom"/>
            <w:hideMark/>
          </w:tcPr>
          <w:p w14:paraId="2C7D7C38"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4576878D" w14:textId="77777777" w:rsidTr="007D4A4D">
        <w:trPr>
          <w:trHeight w:val="300"/>
        </w:trPr>
        <w:tc>
          <w:tcPr>
            <w:tcW w:w="3560" w:type="dxa"/>
            <w:shd w:val="clear" w:color="auto" w:fill="auto"/>
            <w:noWrap/>
            <w:vAlign w:val="bottom"/>
            <w:hideMark/>
          </w:tcPr>
          <w:p w14:paraId="2E3D33D4"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Night shelters</w:t>
            </w:r>
          </w:p>
        </w:tc>
        <w:tc>
          <w:tcPr>
            <w:tcW w:w="940" w:type="dxa"/>
            <w:shd w:val="clear" w:color="auto" w:fill="auto"/>
            <w:noWrap/>
            <w:vAlign w:val="bottom"/>
            <w:hideMark/>
          </w:tcPr>
          <w:p w14:paraId="7CFA1298"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200</w:t>
            </w:r>
          </w:p>
        </w:tc>
        <w:tc>
          <w:tcPr>
            <w:tcW w:w="1104" w:type="dxa"/>
            <w:shd w:val="clear" w:color="auto" w:fill="auto"/>
            <w:noWrap/>
            <w:vAlign w:val="bottom"/>
            <w:hideMark/>
          </w:tcPr>
          <w:p w14:paraId="20A85578"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200</w:t>
            </w:r>
          </w:p>
        </w:tc>
        <w:tc>
          <w:tcPr>
            <w:tcW w:w="1290" w:type="dxa"/>
            <w:shd w:val="clear" w:color="auto" w:fill="auto"/>
            <w:noWrap/>
            <w:vAlign w:val="bottom"/>
            <w:hideMark/>
          </w:tcPr>
          <w:p w14:paraId="74E3A6FF"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0</w:t>
            </w:r>
          </w:p>
        </w:tc>
        <w:tc>
          <w:tcPr>
            <w:tcW w:w="1580" w:type="dxa"/>
            <w:shd w:val="clear" w:color="auto" w:fill="auto"/>
            <w:noWrap/>
            <w:vAlign w:val="bottom"/>
            <w:hideMark/>
          </w:tcPr>
          <w:p w14:paraId="5C8A6CA3"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r>
      <w:tr w:rsidR="00772E8D" w:rsidRPr="00D02BE1" w14:paraId="59508E15" w14:textId="77777777" w:rsidTr="007D4A4D">
        <w:trPr>
          <w:trHeight w:val="300"/>
        </w:trPr>
        <w:tc>
          <w:tcPr>
            <w:tcW w:w="3560" w:type="dxa"/>
            <w:shd w:val="clear" w:color="auto" w:fill="auto"/>
            <w:noWrap/>
            <w:vAlign w:val="bottom"/>
            <w:hideMark/>
          </w:tcPr>
          <w:p w14:paraId="6F3AF9FF"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Occupational hostels</w:t>
            </w:r>
          </w:p>
        </w:tc>
        <w:tc>
          <w:tcPr>
            <w:tcW w:w="940" w:type="dxa"/>
            <w:shd w:val="clear" w:color="auto" w:fill="auto"/>
            <w:noWrap/>
            <w:vAlign w:val="bottom"/>
            <w:hideMark/>
          </w:tcPr>
          <w:p w14:paraId="44959A4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5,300</w:t>
            </w:r>
          </w:p>
        </w:tc>
        <w:tc>
          <w:tcPr>
            <w:tcW w:w="1104" w:type="dxa"/>
            <w:shd w:val="clear" w:color="auto" w:fill="auto"/>
            <w:noWrap/>
            <w:vAlign w:val="bottom"/>
            <w:hideMark/>
          </w:tcPr>
          <w:p w14:paraId="3A4D871D"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5,900</w:t>
            </w:r>
          </w:p>
        </w:tc>
        <w:tc>
          <w:tcPr>
            <w:tcW w:w="1290" w:type="dxa"/>
            <w:shd w:val="clear" w:color="auto" w:fill="auto"/>
            <w:noWrap/>
            <w:vAlign w:val="bottom"/>
            <w:hideMark/>
          </w:tcPr>
          <w:p w14:paraId="4B454923"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600</w:t>
            </w:r>
          </w:p>
        </w:tc>
        <w:tc>
          <w:tcPr>
            <w:tcW w:w="1580" w:type="dxa"/>
            <w:shd w:val="clear" w:color="auto" w:fill="auto"/>
            <w:noWrap/>
            <w:vAlign w:val="bottom"/>
            <w:hideMark/>
          </w:tcPr>
          <w:p w14:paraId="3C13A93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90%</w:t>
            </w:r>
          </w:p>
        </w:tc>
      </w:tr>
      <w:tr w:rsidR="00772E8D" w:rsidRPr="00D02BE1" w14:paraId="5629487E" w14:textId="77777777" w:rsidTr="007D4A4D">
        <w:trPr>
          <w:trHeight w:val="300"/>
        </w:trPr>
        <w:tc>
          <w:tcPr>
            <w:tcW w:w="3560" w:type="dxa"/>
            <w:shd w:val="clear" w:color="auto" w:fill="auto"/>
            <w:noWrap/>
            <w:vAlign w:val="bottom"/>
            <w:hideMark/>
          </w:tcPr>
          <w:p w14:paraId="02679E50"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Other</w:t>
            </w:r>
          </w:p>
        </w:tc>
        <w:tc>
          <w:tcPr>
            <w:tcW w:w="940" w:type="dxa"/>
            <w:shd w:val="clear" w:color="auto" w:fill="auto"/>
            <w:noWrap/>
            <w:vAlign w:val="bottom"/>
            <w:hideMark/>
          </w:tcPr>
          <w:p w14:paraId="5C311F01" w14:textId="77777777" w:rsidR="00772E8D" w:rsidRPr="00D02BE1" w:rsidRDefault="00772E8D" w:rsidP="002B1876">
            <w:pPr>
              <w:spacing w:after="0" w:line="240" w:lineRule="auto"/>
              <w:jc w:val="right"/>
              <w:rPr>
                <w:rFonts w:eastAsia="Times New Roman"/>
                <w:lang w:eastAsia="en-GB"/>
              </w:rPr>
            </w:pPr>
            <w:r>
              <w:rPr>
                <w:rFonts w:eastAsia="Times New Roman"/>
                <w:lang w:eastAsia="en-GB"/>
              </w:rPr>
              <w:t>33,700</w:t>
            </w:r>
          </w:p>
        </w:tc>
        <w:tc>
          <w:tcPr>
            <w:tcW w:w="1104" w:type="dxa"/>
            <w:shd w:val="clear" w:color="auto" w:fill="auto"/>
            <w:noWrap/>
            <w:vAlign w:val="bottom"/>
            <w:hideMark/>
          </w:tcPr>
          <w:p w14:paraId="637F4F31" w14:textId="77777777" w:rsidR="00772E8D" w:rsidRPr="00D02BE1" w:rsidRDefault="00772E8D" w:rsidP="002B1876">
            <w:pPr>
              <w:spacing w:after="0" w:line="240" w:lineRule="auto"/>
              <w:jc w:val="right"/>
              <w:rPr>
                <w:rFonts w:eastAsia="Times New Roman"/>
                <w:b/>
                <w:bCs/>
                <w:lang w:eastAsia="en-GB"/>
              </w:rPr>
            </w:pPr>
            <w:r>
              <w:rPr>
                <w:rFonts w:eastAsia="Times New Roman"/>
                <w:b/>
                <w:bCs/>
                <w:lang w:eastAsia="en-GB"/>
              </w:rPr>
              <w:t>36</w:t>
            </w:r>
            <w:r w:rsidRPr="00D02BE1">
              <w:rPr>
                <w:rFonts w:eastAsia="Times New Roman"/>
                <w:b/>
                <w:bCs/>
                <w:lang w:eastAsia="en-GB"/>
              </w:rPr>
              <w:t>,</w:t>
            </w:r>
            <w:r>
              <w:rPr>
                <w:rFonts w:eastAsia="Times New Roman"/>
                <w:b/>
                <w:bCs/>
                <w:lang w:eastAsia="en-GB"/>
              </w:rPr>
              <w:t>0</w:t>
            </w:r>
            <w:r w:rsidRPr="00D02BE1">
              <w:rPr>
                <w:rFonts w:eastAsia="Times New Roman"/>
                <w:b/>
                <w:bCs/>
                <w:lang w:eastAsia="en-GB"/>
              </w:rPr>
              <w:t>00</w:t>
            </w:r>
          </w:p>
        </w:tc>
        <w:tc>
          <w:tcPr>
            <w:tcW w:w="1290" w:type="dxa"/>
            <w:shd w:val="clear" w:color="auto" w:fill="auto"/>
            <w:noWrap/>
            <w:vAlign w:val="bottom"/>
            <w:hideMark/>
          </w:tcPr>
          <w:p w14:paraId="260DF5E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2,300</w:t>
            </w:r>
          </w:p>
        </w:tc>
        <w:tc>
          <w:tcPr>
            <w:tcW w:w="1580" w:type="dxa"/>
            <w:shd w:val="clear" w:color="auto" w:fill="auto"/>
            <w:noWrap/>
            <w:vAlign w:val="bottom"/>
            <w:hideMark/>
          </w:tcPr>
          <w:p w14:paraId="009E5B8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94%</w:t>
            </w:r>
          </w:p>
        </w:tc>
      </w:tr>
      <w:tr w:rsidR="00772E8D" w:rsidRPr="00D02BE1" w14:paraId="484D1C86" w14:textId="77777777" w:rsidTr="007D4A4D">
        <w:trPr>
          <w:trHeight w:val="300"/>
        </w:trPr>
        <w:tc>
          <w:tcPr>
            <w:tcW w:w="3560" w:type="dxa"/>
            <w:shd w:val="clear" w:color="auto" w:fill="auto"/>
            <w:noWrap/>
            <w:vAlign w:val="bottom"/>
            <w:hideMark/>
          </w:tcPr>
          <w:p w14:paraId="08CEE172"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Other educational establishments</w:t>
            </w:r>
          </w:p>
        </w:tc>
        <w:tc>
          <w:tcPr>
            <w:tcW w:w="940" w:type="dxa"/>
            <w:shd w:val="clear" w:color="auto" w:fill="auto"/>
            <w:noWrap/>
            <w:vAlign w:val="bottom"/>
            <w:hideMark/>
          </w:tcPr>
          <w:p w14:paraId="03AB7EE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3,700</w:t>
            </w:r>
          </w:p>
        </w:tc>
        <w:tc>
          <w:tcPr>
            <w:tcW w:w="1104" w:type="dxa"/>
            <w:shd w:val="clear" w:color="auto" w:fill="auto"/>
            <w:noWrap/>
            <w:vAlign w:val="bottom"/>
            <w:hideMark/>
          </w:tcPr>
          <w:p w14:paraId="6530F986"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4,000</w:t>
            </w:r>
          </w:p>
        </w:tc>
        <w:tc>
          <w:tcPr>
            <w:tcW w:w="1290" w:type="dxa"/>
            <w:shd w:val="clear" w:color="auto" w:fill="auto"/>
            <w:noWrap/>
            <w:vAlign w:val="bottom"/>
            <w:hideMark/>
          </w:tcPr>
          <w:p w14:paraId="22E1890F"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300</w:t>
            </w:r>
          </w:p>
        </w:tc>
        <w:tc>
          <w:tcPr>
            <w:tcW w:w="1580" w:type="dxa"/>
            <w:shd w:val="clear" w:color="auto" w:fill="auto"/>
            <w:noWrap/>
            <w:vAlign w:val="bottom"/>
            <w:hideMark/>
          </w:tcPr>
          <w:p w14:paraId="4153D63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93%</w:t>
            </w:r>
          </w:p>
        </w:tc>
      </w:tr>
      <w:tr w:rsidR="00772E8D" w:rsidRPr="00D02BE1" w14:paraId="5A13B5AC" w14:textId="77777777" w:rsidTr="007D4A4D">
        <w:trPr>
          <w:trHeight w:val="300"/>
        </w:trPr>
        <w:tc>
          <w:tcPr>
            <w:tcW w:w="3560" w:type="dxa"/>
            <w:shd w:val="clear" w:color="auto" w:fill="auto"/>
            <w:noWrap/>
            <w:vAlign w:val="bottom"/>
            <w:hideMark/>
          </w:tcPr>
          <w:p w14:paraId="514C0AC8"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Other medical / care establishments</w:t>
            </w:r>
          </w:p>
        </w:tc>
        <w:tc>
          <w:tcPr>
            <w:tcW w:w="940" w:type="dxa"/>
            <w:shd w:val="clear" w:color="auto" w:fill="auto"/>
            <w:noWrap/>
            <w:vAlign w:val="bottom"/>
            <w:hideMark/>
          </w:tcPr>
          <w:p w14:paraId="6D468D25"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1,900</w:t>
            </w:r>
          </w:p>
        </w:tc>
        <w:tc>
          <w:tcPr>
            <w:tcW w:w="1104" w:type="dxa"/>
            <w:shd w:val="clear" w:color="auto" w:fill="auto"/>
            <w:noWrap/>
            <w:vAlign w:val="bottom"/>
            <w:hideMark/>
          </w:tcPr>
          <w:p w14:paraId="46A1B343"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2,100</w:t>
            </w:r>
          </w:p>
        </w:tc>
        <w:tc>
          <w:tcPr>
            <w:tcW w:w="1290" w:type="dxa"/>
            <w:shd w:val="clear" w:color="auto" w:fill="auto"/>
            <w:noWrap/>
            <w:vAlign w:val="bottom"/>
            <w:hideMark/>
          </w:tcPr>
          <w:p w14:paraId="4466DDB1"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200</w:t>
            </w:r>
          </w:p>
        </w:tc>
        <w:tc>
          <w:tcPr>
            <w:tcW w:w="1580" w:type="dxa"/>
            <w:shd w:val="clear" w:color="auto" w:fill="auto"/>
            <w:noWrap/>
            <w:vAlign w:val="bottom"/>
            <w:hideMark/>
          </w:tcPr>
          <w:p w14:paraId="3953ACAA"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90%</w:t>
            </w:r>
          </w:p>
        </w:tc>
      </w:tr>
      <w:tr w:rsidR="00772E8D" w:rsidRPr="00D02BE1" w14:paraId="7CDFE8BE" w14:textId="77777777" w:rsidTr="007D4A4D">
        <w:trPr>
          <w:trHeight w:val="300"/>
        </w:trPr>
        <w:tc>
          <w:tcPr>
            <w:tcW w:w="3560" w:type="dxa"/>
            <w:shd w:val="clear" w:color="auto" w:fill="auto"/>
            <w:noWrap/>
            <w:vAlign w:val="bottom"/>
            <w:hideMark/>
          </w:tcPr>
          <w:p w14:paraId="412D5F00"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Religious institutions</w:t>
            </w:r>
          </w:p>
        </w:tc>
        <w:tc>
          <w:tcPr>
            <w:tcW w:w="940" w:type="dxa"/>
            <w:shd w:val="clear" w:color="auto" w:fill="auto"/>
            <w:noWrap/>
            <w:vAlign w:val="bottom"/>
            <w:hideMark/>
          </w:tcPr>
          <w:p w14:paraId="04A262D6"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4,000</w:t>
            </w:r>
          </w:p>
        </w:tc>
        <w:tc>
          <w:tcPr>
            <w:tcW w:w="1104" w:type="dxa"/>
            <w:shd w:val="clear" w:color="auto" w:fill="auto"/>
            <w:noWrap/>
            <w:vAlign w:val="bottom"/>
            <w:hideMark/>
          </w:tcPr>
          <w:p w14:paraId="64B66B6E"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4,400</w:t>
            </w:r>
          </w:p>
        </w:tc>
        <w:tc>
          <w:tcPr>
            <w:tcW w:w="1290" w:type="dxa"/>
            <w:shd w:val="clear" w:color="auto" w:fill="auto"/>
            <w:noWrap/>
            <w:vAlign w:val="bottom"/>
            <w:hideMark/>
          </w:tcPr>
          <w:p w14:paraId="454443EF"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400</w:t>
            </w:r>
          </w:p>
        </w:tc>
        <w:tc>
          <w:tcPr>
            <w:tcW w:w="1580" w:type="dxa"/>
            <w:shd w:val="clear" w:color="auto" w:fill="auto"/>
            <w:noWrap/>
            <w:vAlign w:val="bottom"/>
            <w:hideMark/>
          </w:tcPr>
          <w:p w14:paraId="66EF1405"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91%</w:t>
            </w:r>
          </w:p>
        </w:tc>
      </w:tr>
      <w:tr w:rsidR="00772E8D" w:rsidRPr="00D02BE1" w14:paraId="7F50F33F" w14:textId="77777777" w:rsidTr="007D4A4D">
        <w:trPr>
          <w:trHeight w:val="300"/>
        </w:trPr>
        <w:tc>
          <w:tcPr>
            <w:tcW w:w="3560" w:type="dxa"/>
            <w:shd w:val="clear" w:color="auto" w:fill="auto"/>
            <w:noWrap/>
            <w:vAlign w:val="bottom"/>
            <w:hideMark/>
          </w:tcPr>
          <w:p w14:paraId="34F0B490"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Residential / nursing homes</w:t>
            </w:r>
          </w:p>
        </w:tc>
        <w:tc>
          <w:tcPr>
            <w:tcW w:w="940" w:type="dxa"/>
            <w:shd w:val="clear" w:color="auto" w:fill="auto"/>
            <w:noWrap/>
            <w:vAlign w:val="bottom"/>
            <w:hideMark/>
          </w:tcPr>
          <w:p w14:paraId="114BD5C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358,400</w:t>
            </w:r>
          </w:p>
        </w:tc>
        <w:tc>
          <w:tcPr>
            <w:tcW w:w="1104" w:type="dxa"/>
            <w:shd w:val="clear" w:color="auto" w:fill="auto"/>
            <w:noWrap/>
            <w:vAlign w:val="bottom"/>
            <w:hideMark/>
          </w:tcPr>
          <w:p w14:paraId="2553EDA2"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383,000</w:t>
            </w:r>
          </w:p>
        </w:tc>
        <w:tc>
          <w:tcPr>
            <w:tcW w:w="1290" w:type="dxa"/>
            <w:shd w:val="clear" w:color="auto" w:fill="auto"/>
            <w:noWrap/>
            <w:vAlign w:val="bottom"/>
            <w:hideMark/>
          </w:tcPr>
          <w:p w14:paraId="1FD03340"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24,600</w:t>
            </w:r>
          </w:p>
        </w:tc>
        <w:tc>
          <w:tcPr>
            <w:tcW w:w="1580" w:type="dxa"/>
            <w:shd w:val="clear" w:color="auto" w:fill="auto"/>
            <w:noWrap/>
            <w:vAlign w:val="bottom"/>
            <w:hideMark/>
          </w:tcPr>
          <w:p w14:paraId="114AD819"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94%</w:t>
            </w:r>
          </w:p>
        </w:tc>
      </w:tr>
      <w:tr w:rsidR="00772E8D" w:rsidRPr="00D02BE1" w14:paraId="7C41E0DD" w14:textId="77777777" w:rsidTr="007D4A4D">
        <w:trPr>
          <w:trHeight w:val="300"/>
        </w:trPr>
        <w:tc>
          <w:tcPr>
            <w:tcW w:w="3560" w:type="dxa"/>
            <w:shd w:val="clear" w:color="auto" w:fill="auto"/>
            <w:noWrap/>
            <w:vAlign w:val="bottom"/>
            <w:hideMark/>
          </w:tcPr>
          <w:p w14:paraId="5F90B29E"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Services accommodation</w:t>
            </w:r>
          </w:p>
        </w:tc>
        <w:tc>
          <w:tcPr>
            <w:tcW w:w="940" w:type="dxa"/>
            <w:shd w:val="clear" w:color="auto" w:fill="auto"/>
            <w:noWrap/>
            <w:vAlign w:val="bottom"/>
            <w:hideMark/>
          </w:tcPr>
          <w:p w14:paraId="4D21459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7,900</w:t>
            </w:r>
          </w:p>
        </w:tc>
        <w:tc>
          <w:tcPr>
            <w:tcW w:w="1104" w:type="dxa"/>
            <w:shd w:val="clear" w:color="auto" w:fill="auto"/>
            <w:noWrap/>
            <w:vAlign w:val="bottom"/>
            <w:hideMark/>
          </w:tcPr>
          <w:p w14:paraId="10789FA9"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8,600</w:t>
            </w:r>
          </w:p>
        </w:tc>
        <w:tc>
          <w:tcPr>
            <w:tcW w:w="1290" w:type="dxa"/>
            <w:shd w:val="clear" w:color="auto" w:fill="auto"/>
            <w:noWrap/>
            <w:vAlign w:val="bottom"/>
            <w:hideMark/>
          </w:tcPr>
          <w:p w14:paraId="7E91C106"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700</w:t>
            </w:r>
          </w:p>
        </w:tc>
        <w:tc>
          <w:tcPr>
            <w:tcW w:w="1580" w:type="dxa"/>
            <w:shd w:val="clear" w:color="auto" w:fill="auto"/>
            <w:noWrap/>
            <w:vAlign w:val="bottom"/>
            <w:hideMark/>
          </w:tcPr>
          <w:p w14:paraId="38A710F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92%</w:t>
            </w:r>
          </w:p>
        </w:tc>
      </w:tr>
      <w:tr w:rsidR="00772E8D" w:rsidRPr="00D02BE1" w14:paraId="0C05A445" w14:textId="77777777" w:rsidTr="007D4A4D">
        <w:trPr>
          <w:trHeight w:val="300"/>
        </w:trPr>
        <w:tc>
          <w:tcPr>
            <w:tcW w:w="3560" w:type="dxa"/>
            <w:shd w:val="clear" w:color="auto" w:fill="auto"/>
            <w:noWrap/>
            <w:vAlign w:val="bottom"/>
            <w:hideMark/>
          </w:tcPr>
          <w:p w14:paraId="065C6D08"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Sheltered accommodation</w:t>
            </w:r>
          </w:p>
        </w:tc>
        <w:tc>
          <w:tcPr>
            <w:tcW w:w="940" w:type="dxa"/>
            <w:shd w:val="clear" w:color="auto" w:fill="auto"/>
            <w:noWrap/>
            <w:vAlign w:val="bottom"/>
            <w:hideMark/>
          </w:tcPr>
          <w:p w14:paraId="22CF915E"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1,500</w:t>
            </w:r>
          </w:p>
        </w:tc>
        <w:tc>
          <w:tcPr>
            <w:tcW w:w="1104" w:type="dxa"/>
            <w:shd w:val="clear" w:color="auto" w:fill="auto"/>
            <w:noWrap/>
            <w:vAlign w:val="bottom"/>
            <w:hideMark/>
          </w:tcPr>
          <w:p w14:paraId="1008853D"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1,700</w:t>
            </w:r>
          </w:p>
        </w:tc>
        <w:tc>
          <w:tcPr>
            <w:tcW w:w="1290" w:type="dxa"/>
            <w:shd w:val="clear" w:color="auto" w:fill="auto"/>
            <w:noWrap/>
            <w:vAlign w:val="bottom"/>
            <w:hideMark/>
          </w:tcPr>
          <w:p w14:paraId="31EC3094"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100</w:t>
            </w:r>
          </w:p>
        </w:tc>
        <w:tc>
          <w:tcPr>
            <w:tcW w:w="1580" w:type="dxa"/>
            <w:shd w:val="clear" w:color="auto" w:fill="auto"/>
            <w:noWrap/>
            <w:vAlign w:val="bottom"/>
            <w:hideMark/>
          </w:tcPr>
          <w:p w14:paraId="4D10792D"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88%</w:t>
            </w:r>
          </w:p>
        </w:tc>
      </w:tr>
      <w:tr w:rsidR="00772E8D" w:rsidRPr="00D02BE1" w14:paraId="09FEE161" w14:textId="77777777" w:rsidTr="007D4A4D">
        <w:trPr>
          <w:trHeight w:val="300"/>
        </w:trPr>
        <w:tc>
          <w:tcPr>
            <w:tcW w:w="3560" w:type="dxa"/>
            <w:shd w:val="clear" w:color="auto" w:fill="auto"/>
            <w:noWrap/>
            <w:vAlign w:val="bottom"/>
            <w:hideMark/>
          </w:tcPr>
          <w:p w14:paraId="4F7B9447"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Student Halls</w:t>
            </w:r>
          </w:p>
        </w:tc>
        <w:tc>
          <w:tcPr>
            <w:tcW w:w="940" w:type="dxa"/>
            <w:shd w:val="clear" w:color="auto" w:fill="auto"/>
            <w:noWrap/>
            <w:vAlign w:val="bottom"/>
            <w:hideMark/>
          </w:tcPr>
          <w:p w14:paraId="52F43DE2"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60,400</w:t>
            </w:r>
          </w:p>
        </w:tc>
        <w:tc>
          <w:tcPr>
            <w:tcW w:w="1104" w:type="dxa"/>
            <w:shd w:val="clear" w:color="auto" w:fill="auto"/>
            <w:noWrap/>
            <w:vAlign w:val="bottom"/>
            <w:hideMark/>
          </w:tcPr>
          <w:p w14:paraId="7EF6FBFC"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66,800</w:t>
            </w:r>
          </w:p>
        </w:tc>
        <w:tc>
          <w:tcPr>
            <w:tcW w:w="1290" w:type="dxa"/>
            <w:shd w:val="clear" w:color="auto" w:fill="auto"/>
            <w:noWrap/>
            <w:vAlign w:val="bottom"/>
            <w:hideMark/>
          </w:tcPr>
          <w:p w14:paraId="642E0089"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6,400</w:t>
            </w:r>
          </w:p>
        </w:tc>
        <w:tc>
          <w:tcPr>
            <w:tcW w:w="1580" w:type="dxa"/>
            <w:shd w:val="clear" w:color="auto" w:fill="auto"/>
            <w:noWrap/>
            <w:vAlign w:val="bottom"/>
            <w:hideMark/>
          </w:tcPr>
          <w:p w14:paraId="53D769B3"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90%</w:t>
            </w:r>
          </w:p>
        </w:tc>
      </w:tr>
      <w:tr w:rsidR="00772E8D" w:rsidRPr="00D02BE1" w14:paraId="265746E6" w14:textId="77777777" w:rsidTr="007D4A4D">
        <w:trPr>
          <w:trHeight w:val="300"/>
        </w:trPr>
        <w:tc>
          <w:tcPr>
            <w:tcW w:w="3560" w:type="dxa"/>
            <w:shd w:val="clear" w:color="auto" w:fill="auto"/>
            <w:noWrap/>
            <w:vAlign w:val="bottom"/>
            <w:hideMark/>
          </w:tcPr>
          <w:p w14:paraId="1219088E" w14:textId="77777777" w:rsidR="00772E8D" w:rsidRPr="00D02BE1" w:rsidRDefault="00772E8D" w:rsidP="002B1876">
            <w:pPr>
              <w:spacing w:after="0" w:line="240" w:lineRule="auto"/>
              <w:rPr>
                <w:rFonts w:eastAsia="Times New Roman"/>
                <w:lang w:eastAsia="en-GB"/>
              </w:rPr>
            </w:pPr>
            <w:r w:rsidRPr="00D02BE1">
              <w:rPr>
                <w:rFonts w:eastAsia="Times New Roman"/>
                <w:lang w:eastAsia="en-GB"/>
              </w:rPr>
              <w:t>Travel and leisure</w:t>
            </w:r>
          </w:p>
        </w:tc>
        <w:tc>
          <w:tcPr>
            <w:tcW w:w="940" w:type="dxa"/>
            <w:shd w:val="clear" w:color="auto" w:fill="auto"/>
            <w:noWrap/>
            <w:vAlign w:val="bottom"/>
            <w:hideMark/>
          </w:tcPr>
          <w:p w14:paraId="6569D98B"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23,800</w:t>
            </w:r>
          </w:p>
        </w:tc>
        <w:tc>
          <w:tcPr>
            <w:tcW w:w="1104" w:type="dxa"/>
            <w:shd w:val="clear" w:color="auto" w:fill="auto"/>
            <w:noWrap/>
            <w:vAlign w:val="bottom"/>
            <w:hideMark/>
          </w:tcPr>
          <w:p w14:paraId="28CB9EE9" w14:textId="77777777" w:rsidR="00772E8D" w:rsidRPr="00D02BE1" w:rsidRDefault="00772E8D" w:rsidP="002B1876">
            <w:pPr>
              <w:spacing w:after="0" w:line="240" w:lineRule="auto"/>
              <w:jc w:val="right"/>
              <w:rPr>
                <w:rFonts w:eastAsia="Times New Roman"/>
                <w:b/>
                <w:bCs/>
                <w:lang w:eastAsia="en-GB"/>
              </w:rPr>
            </w:pPr>
            <w:r w:rsidRPr="00D02BE1">
              <w:rPr>
                <w:rFonts w:eastAsia="Times New Roman"/>
                <w:b/>
                <w:bCs/>
                <w:lang w:eastAsia="en-GB"/>
              </w:rPr>
              <w:t>25,900</w:t>
            </w:r>
          </w:p>
        </w:tc>
        <w:tc>
          <w:tcPr>
            <w:tcW w:w="1290" w:type="dxa"/>
            <w:shd w:val="clear" w:color="auto" w:fill="auto"/>
            <w:noWrap/>
            <w:vAlign w:val="bottom"/>
            <w:hideMark/>
          </w:tcPr>
          <w:p w14:paraId="269C1C53"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2,100</w:t>
            </w:r>
          </w:p>
        </w:tc>
        <w:tc>
          <w:tcPr>
            <w:tcW w:w="1580" w:type="dxa"/>
            <w:shd w:val="clear" w:color="auto" w:fill="auto"/>
            <w:noWrap/>
            <w:vAlign w:val="bottom"/>
            <w:hideMark/>
          </w:tcPr>
          <w:p w14:paraId="4DF76129" w14:textId="77777777" w:rsidR="00772E8D" w:rsidRPr="00D02BE1" w:rsidRDefault="00772E8D" w:rsidP="002B1876">
            <w:pPr>
              <w:spacing w:after="0" w:line="240" w:lineRule="auto"/>
              <w:jc w:val="right"/>
              <w:rPr>
                <w:rFonts w:eastAsia="Times New Roman"/>
                <w:lang w:eastAsia="en-GB"/>
              </w:rPr>
            </w:pPr>
            <w:r w:rsidRPr="00D02BE1">
              <w:rPr>
                <w:rFonts w:eastAsia="Times New Roman"/>
                <w:lang w:eastAsia="en-GB"/>
              </w:rPr>
              <w:t>92%</w:t>
            </w:r>
          </w:p>
        </w:tc>
      </w:tr>
    </w:tbl>
    <w:p w14:paraId="7D47B9B2" w14:textId="77777777" w:rsidR="00772E8D" w:rsidRDefault="00772E8D" w:rsidP="00772E8D">
      <w:pPr>
        <w:pStyle w:val="FootnoteText"/>
      </w:pPr>
      <w:r>
        <w:rPr>
          <w:rFonts w:asciiTheme="minorHAnsi" w:hAnsiTheme="minorHAnsi"/>
        </w:rPr>
        <w:t xml:space="preserve">Note: </w:t>
      </w:r>
      <w:r w:rsidRPr="00CC098A">
        <w:rPr>
          <w:rFonts w:asciiTheme="minorHAnsi" w:hAnsiTheme="minorHAnsi"/>
        </w:rPr>
        <w:t>Figures in this table are rounded to the nearest 100.</w:t>
      </w:r>
      <w:r>
        <w:rPr>
          <w:rFonts w:asciiTheme="minorHAnsi" w:hAnsiTheme="minorHAnsi"/>
        </w:rPr>
        <w:t xml:space="preserve">  A zero represents this has been rounded to zero. A (–) represents a real zero. Only those establishment types where there </w:t>
      </w:r>
      <w:proofErr w:type="gramStart"/>
      <w:r>
        <w:rPr>
          <w:rFonts w:asciiTheme="minorHAnsi" w:hAnsiTheme="minorHAnsi"/>
        </w:rPr>
        <w:t>is</w:t>
      </w:r>
      <w:proofErr w:type="gramEnd"/>
      <w:r>
        <w:rPr>
          <w:rFonts w:asciiTheme="minorHAnsi" w:hAnsiTheme="minorHAnsi"/>
        </w:rPr>
        <w:t xml:space="preserve"> one or more usual residents counted in small CEs are included in this table.</w:t>
      </w:r>
    </w:p>
    <w:p w14:paraId="47543199" w14:textId="4CC40D06" w:rsidR="006D27EF" w:rsidRDefault="006D27EF" w:rsidP="00A653E7"/>
    <w:p w14:paraId="22E12AF9" w14:textId="77777777" w:rsidR="007D4A4D" w:rsidRDefault="007D4A4D">
      <w:pPr>
        <w:rPr>
          <w:b/>
        </w:rPr>
      </w:pPr>
      <w:r>
        <w:rPr>
          <w:b/>
        </w:rPr>
        <w:br w:type="page"/>
      </w:r>
    </w:p>
    <w:p w14:paraId="598BE737" w14:textId="505DAE10" w:rsidR="007D4A4D" w:rsidRPr="00384D87" w:rsidRDefault="007D4A4D" w:rsidP="007D4A4D">
      <w:pPr>
        <w:spacing w:after="0"/>
        <w:rPr>
          <w:b/>
        </w:rPr>
      </w:pPr>
      <w:r>
        <w:rPr>
          <w:b/>
        </w:rPr>
        <w:lastRenderedPageBreak/>
        <w:t xml:space="preserve">Table </w:t>
      </w:r>
      <w:r w:rsidR="008532BB">
        <w:rPr>
          <w:b/>
        </w:rPr>
        <w:t>D</w:t>
      </w:r>
      <w:r>
        <w:rPr>
          <w:b/>
        </w:rPr>
        <w:t>3</w:t>
      </w:r>
      <w:r w:rsidRPr="00384D87">
        <w:rPr>
          <w:b/>
        </w:rPr>
        <w:t xml:space="preserve"> – C</w:t>
      </w:r>
      <w:r>
        <w:rPr>
          <w:b/>
        </w:rPr>
        <w:t>ounts, estimates and adjustment</w:t>
      </w:r>
      <w:r w:rsidRPr="00384D87">
        <w:rPr>
          <w:b/>
        </w:rPr>
        <w:t xml:space="preserve"> of usual resident in </w:t>
      </w:r>
      <w:r>
        <w:rPr>
          <w:b/>
        </w:rPr>
        <w:t>large</w:t>
      </w:r>
      <w:r w:rsidRPr="00384D87">
        <w:rPr>
          <w:b/>
        </w:rPr>
        <w:t xml:space="preserve"> CEs</w:t>
      </w:r>
      <w:r>
        <w:rPr>
          <w:b/>
        </w:rPr>
        <w:t xml:space="preserve"> (100+ bed spaces)</w:t>
      </w:r>
      <w:r w:rsidRPr="00384D87">
        <w:rPr>
          <w:b/>
        </w:rPr>
        <w:t>, with response rates, by establishment type</w:t>
      </w:r>
      <w:r>
        <w:rPr>
          <w:b/>
        </w:rPr>
        <w:t xml:space="preserve"> (Source: ONS, 2012)</w:t>
      </w:r>
    </w:p>
    <w:tbl>
      <w:tblPr>
        <w:tblpPr w:leftFromText="180" w:rightFromText="180" w:vertAnchor="text" w:horzAnchor="margin" w:tblpY="57"/>
        <w:tblW w:w="9214" w:type="dxa"/>
        <w:tblLook w:val="04A0" w:firstRow="1" w:lastRow="0" w:firstColumn="1" w:lastColumn="0" w:noHBand="0" w:noVBand="1"/>
      </w:tblPr>
      <w:tblGrid>
        <w:gridCol w:w="3686"/>
        <w:gridCol w:w="1110"/>
        <w:gridCol w:w="1299"/>
        <w:gridCol w:w="1418"/>
        <w:gridCol w:w="1701"/>
      </w:tblGrid>
      <w:tr w:rsidR="007D4A4D" w:rsidRPr="00E76EED" w14:paraId="0F683A99" w14:textId="77777777" w:rsidTr="007D4A4D">
        <w:trPr>
          <w:trHeight w:val="300"/>
        </w:trPr>
        <w:tc>
          <w:tcPr>
            <w:tcW w:w="3686" w:type="dxa"/>
            <w:tcBorders>
              <w:bottom w:val="single" w:sz="4" w:space="0" w:color="auto"/>
            </w:tcBorders>
            <w:shd w:val="clear" w:color="auto" w:fill="auto"/>
            <w:noWrap/>
            <w:hideMark/>
          </w:tcPr>
          <w:p w14:paraId="67320AAF" w14:textId="77777777" w:rsidR="007D4A4D" w:rsidRPr="00E76EED" w:rsidRDefault="007D4A4D" w:rsidP="008532BB">
            <w:pPr>
              <w:spacing w:after="0" w:line="240" w:lineRule="auto"/>
              <w:rPr>
                <w:rFonts w:eastAsia="Times New Roman"/>
                <w:b/>
                <w:bCs/>
                <w:lang w:eastAsia="en-GB"/>
              </w:rPr>
            </w:pPr>
            <w:r w:rsidRPr="00E76EED">
              <w:rPr>
                <w:rFonts w:eastAsia="Times New Roman"/>
                <w:b/>
                <w:bCs/>
                <w:lang w:eastAsia="en-GB"/>
              </w:rPr>
              <w:t>Establishment</w:t>
            </w:r>
            <w:r>
              <w:rPr>
                <w:rFonts w:eastAsia="Times New Roman"/>
                <w:b/>
                <w:bCs/>
                <w:lang w:eastAsia="en-GB"/>
              </w:rPr>
              <w:t xml:space="preserve"> Type</w:t>
            </w:r>
          </w:p>
        </w:tc>
        <w:tc>
          <w:tcPr>
            <w:tcW w:w="1110" w:type="dxa"/>
            <w:tcBorders>
              <w:bottom w:val="single" w:sz="4" w:space="0" w:color="auto"/>
            </w:tcBorders>
            <w:shd w:val="clear" w:color="auto" w:fill="auto"/>
            <w:noWrap/>
            <w:hideMark/>
          </w:tcPr>
          <w:p w14:paraId="05D0D663" w14:textId="77777777" w:rsidR="007D4A4D" w:rsidRPr="00E76EED" w:rsidRDefault="007D4A4D" w:rsidP="008532BB">
            <w:pPr>
              <w:spacing w:after="0" w:line="240" w:lineRule="auto"/>
              <w:jc w:val="center"/>
              <w:rPr>
                <w:rFonts w:eastAsia="Times New Roman"/>
                <w:b/>
                <w:bCs/>
                <w:lang w:eastAsia="en-GB"/>
              </w:rPr>
            </w:pPr>
            <w:r w:rsidRPr="00E76EED">
              <w:rPr>
                <w:rFonts w:eastAsia="Times New Roman"/>
                <w:b/>
                <w:bCs/>
                <w:lang w:eastAsia="en-GB"/>
              </w:rPr>
              <w:t>Counts</w:t>
            </w:r>
          </w:p>
        </w:tc>
        <w:tc>
          <w:tcPr>
            <w:tcW w:w="1299" w:type="dxa"/>
            <w:tcBorders>
              <w:bottom w:val="single" w:sz="4" w:space="0" w:color="auto"/>
            </w:tcBorders>
            <w:shd w:val="clear" w:color="auto" w:fill="auto"/>
            <w:noWrap/>
            <w:hideMark/>
          </w:tcPr>
          <w:p w14:paraId="37BD3C47" w14:textId="77777777" w:rsidR="007D4A4D" w:rsidRPr="00E76EED" w:rsidRDefault="007D4A4D" w:rsidP="008532BB">
            <w:pPr>
              <w:spacing w:after="0" w:line="240" w:lineRule="auto"/>
              <w:jc w:val="center"/>
              <w:rPr>
                <w:rFonts w:eastAsia="Times New Roman"/>
                <w:b/>
                <w:bCs/>
                <w:lang w:eastAsia="en-GB"/>
              </w:rPr>
            </w:pPr>
            <w:r w:rsidRPr="00E76EED">
              <w:rPr>
                <w:rFonts w:eastAsia="Times New Roman"/>
                <w:b/>
                <w:bCs/>
                <w:lang w:eastAsia="en-GB"/>
              </w:rPr>
              <w:t>Estimates</w:t>
            </w:r>
          </w:p>
        </w:tc>
        <w:tc>
          <w:tcPr>
            <w:tcW w:w="1418" w:type="dxa"/>
            <w:tcBorders>
              <w:bottom w:val="single" w:sz="4" w:space="0" w:color="auto"/>
            </w:tcBorders>
            <w:shd w:val="clear" w:color="auto" w:fill="auto"/>
            <w:noWrap/>
            <w:hideMark/>
          </w:tcPr>
          <w:p w14:paraId="71BE3EFD" w14:textId="77777777" w:rsidR="007D4A4D" w:rsidRPr="00E76EED" w:rsidRDefault="007D4A4D" w:rsidP="008532BB">
            <w:pPr>
              <w:spacing w:after="0" w:line="240" w:lineRule="auto"/>
              <w:jc w:val="center"/>
              <w:rPr>
                <w:rFonts w:eastAsia="Times New Roman"/>
                <w:b/>
                <w:bCs/>
                <w:lang w:eastAsia="en-GB"/>
              </w:rPr>
            </w:pPr>
            <w:r w:rsidRPr="00E76EED">
              <w:rPr>
                <w:rFonts w:eastAsia="Times New Roman"/>
                <w:b/>
                <w:bCs/>
                <w:lang w:eastAsia="en-GB"/>
              </w:rPr>
              <w:t>Adjustment</w:t>
            </w:r>
          </w:p>
        </w:tc>
        <w:tc>
          <w:tcPr>
            <w:tcW w:w="1701" w:type="dxa"/>
            <w:tcBorders>
              <w:bottom w:val="single" w:sz="4" w:space="0" w:color="auto"/>
            </w:tcBorders>
            <w:shd w:val="clear" w:color="auto" w:fill="auto"/>
            <w:noWrap/>
            <w:hideMark/>
          </w:tcPr>
          <w:p w14:paraId="2A836FE4" w14:textId="77777777" w:rsidR="007D4A4D" w:rsidRPr="00E76EED" w:rsidRDefault="007D4A4D" w:rsidP="008532BB">
            <w:pPr>
              <w:spacing w:after="0" w:line="240" w:lineRule="auto"/>
              <w:jc w:val="center"/>
              <w:rPr>
                <w:rFonts w:eastAsia="Times New Roman"/>
                <w:b/>
                <w:bCs/>
                <w:lang w:eastAsia="en-GB"/>
              </w:rPr>
            </w:pPr>
            <w:r w:rsidRPr="00E76EED">
              <w:rPr>
                <w:rFonts w:eastAsia="Times New Roman"/>
                <w:b/>
                <w:bCs/>
                <w:lang w:eastAsia="en-GB"/>
              </w:rPr>
              <w:t>Response Rate</w:t>
            </w:r>
          </w:p>
        </w:tc>
      </w:tr>
      <w:tr w:rsidR="007D4A4D" w:rsidRPr="00E76EED" w14:paraId="38A52BF6" w14:textId="77777777" w:rsidTr="007D4A4D">
        <w:trPr>
          <w:trHeight w:val="300"/>
        </w:trPr>
        <w:tc>
          <w:tcPr>
            <w:tcW w:w="3686" w:type="dxa"/>
            <w:tcBorders>
              <w:top w:val="single" w:sz="4" w:space="0" w:color="auto"/>
            </w:tcBorders>
            <w:shd w:val="clear" w:color="auto" w:fill="auto"/>
            <w:noWrap/>
            <w:vAlign w:val="bottom"/>
            <w:hideMark/>
          </w:tcPr>
          <w:p w14:paraId="2C9CBEF9"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Boarding schools</w:t>
            </w:r>
          </w:p>
        </w:tc>
        <w:tc>
          <w:tcPr>
            <w:tcW w:w="1110" w:type="dxa"/>
            <w:tcBorders>
              <w:top w:val="single" w:sz="4" w:space="0" w:color="auto"/>
            </w:tcBorders>
            <w:shd w:val="clear" w:color="auto" w:fill="auto"/>
            <w:noWrap/>
            <w:vAlign w:val="bottom"/>
            <w:hideMark/>
          </w:tcPr>
          <w:p w14:paraId="1457239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48,700</w:t>
            </w:r>
          </w:p>
        </w:tc>
        <w:tc>
          <w:tcPr>
            <w:tcW w:w="1299" w:type="dxa"/>
            <w:tcBorders>
              <w:top w:val="single" w:sz="4" w:space="0" w:color="auto"/>
            </w:tcBorders>
            <w:shd w:val="clear" w:color="auto" w:fill="auto"/>
            <w:noWrap/>
            <w:vAlign w:val="bottom"/>
            <w:hideMark/>
          </w:tcPr>
          <w:p w14:paraId="6DFBFB44"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51,100</w:t>
            </w:r>
          </w:p>
        </w:tc>
        <w:tc>
          <w:tcPr>
            <w:tcW w:w="1418" w:type="dxa"/>
            <w:tcBorders>
              <w:top w:val="single" w:sz="4" w:space="0" w:color="auto"/>
            </w:tcBorders>
            <w:shd w:val="clear" w:color="auto" w:fill="auto"/>
            <w:noWrap/>
            <w:vAlign w:val="bottom"/>
            <w:hideMark/>
          </w:tcPr>
          <w:p w14:paraId="76E34321"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2,300</w:t>
            </w:r>
          </w:p>
        </w:tc>
        <w:tc>
          <w:tcPr>
            <w:tcW w:w="1701" w:type="dxa"/>
            <w:tcBorders>
              <w:top w:val="single" w:sz="4" w:space="0" w:color="auto"/>
            </w:tcBorders>
            <w:shd w:val="clear" w:color="auto" w:fill="auto"/>
            <w:noWrap/>
            <w:vAlign w:val="bottom"/>
            <w:hideMark/>
          </w:tcPr>
          <w:p w14:paraId="07934AB1"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95%</w:t>
            </w:r>
          </w:p>
        </w:tc>
      </w:tr>
      <w:tr w:rsidR="007D4A4D" w:rsidRPr="00E76EED" w14:paraId="366C6FEA" w14:textId="77777777" w:rsidTr="008532BB">
        <w:trPr>
          <w:trHeight w:val="300"/>
        </w:trPr>
        <w:tc>
          <w:tcPr>
            <w:tcW w:w="3686" w:type="dxa"/>
            <w:shd w:val="clear" w:color="auto" w:fill="auto"/>
            <w:noWrap/>
            <w:vAlign w:val="bottom"/>
            <w:hideMark/>
          </w:tcPr>
          <w:p w14:paraId="33945708"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Children</w:t>
            </w:r>
            <w:r>
              <w:rPr>
                <w:rFonts w:eastAsia="Times New Roman"/>
                <w:lang w:eastAsia="en-GB"/>
              </w:rPr>
              <w:t>’</w:t>
            </w:r>
            <w:r w:rsidRPr="00E76EED">
              <w:rPr>
                <w:rFonts w:eastAsia="Times New Roman"/>
                <w:lang w:eastAsia="en-GB"/>
              </w:rPr>
              <w:t>s homes</w:t>
            </w:r>
          </w:p>
        </w:tc>
        <w:tc>
          <w:tcPr>
            <w:tcW w:w="1110" w:type="dxa"/>
            <w:shd w:val="clear" w:color="auto" w:fill="auto"/>
            <w:noWrap/>
            <w:vAlign w:val="bottom"/>
            <w:hideMark/>
          </w:tcPr>
          <w:p w14:paraId="5CDB9F8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2,300</w:t>
            </w:r>
          </w:p>
        </w:tc>
        <w:tc>
          <w:tcPr>
            <w:tcW w:w="1299" w:type="dxa"/>
            <w:shd w:val="clear" w:color="auto" w:fill="auto"/>
            <w:noWrap/>
            <w:vAlign w:val="bottom"/>
            <w:hideMark/>
          </w:tcPr>
          <w:p w14:paraId="7082EA48"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2,300</w:t>
            </w:r>
          </w:p>
        </w:tc>
        <w:tc>
          <w:tcPr>
            <w:tcW w:w="1418" w:type="dxa"/>
            <w:shd w:val="clear" w:color="auto" w:fill="auto"/>
            <w:noWrap/>
            <w:vAlign w:val="bottom"/>
            <w:hideMark/>
          </w:tcPr>
          <w:p w14:paraId="6962C4DD"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0</w:t>
            </w:r>
          </w:p>
        </w:tc>
        <w:tc>
          <w:tcPr>
            <w:tcW w:w="1701" w:type="dxa"/>
            <w:shd w:val="clear" w:color="auto" w:fill="auto"/>
            <w:noWrap/>
            <w:vAlign w:val="bottom"/>
            <w:hideMark/>
          </w:tcPr>
          <w:p w14:paraId="0D27441B"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0862933E" w14:textId="77777777" w:rsidTr="008532BB">
        <w:trPr>
          <w:trHeight w:val="300"/>
        </w:trPr>
        <w:tc>
          <w:tcPr>
            <w:tcW w:w="3686" w:type="dxa"/>
            <w:shd w:val="clear" w:color="auto" w:fill="auto"/>
            <w:noWrap/>
            <w:vAlign w:val="bottom"/>
            <w:hideMark/>
          </w:tcPr>
          <w:p w14:paraId="790E2F02"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Detention accommodation</w:t>
            </w:r>
          </w:p>
        </w:tc>
        <w:tc>
          <w:tcPr>
            <w:tcW w:w="1110" w:type="dxa"/>
            <w:shd w:val="clear" w:color="auto" w:fill="auto"/>
            <w:noWrap/>
            <w:vAlign w:val="bottom"/>
            <w:hideMark/>
          </w:tcPr>
          <w:p w14:paraId="302E591D"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46,200</w:t>
            </w:r>
          </w:p>
        </w:tc>
        <w:tc>
          <w:tcPr>
            <w:tcW w:w="1299" w:type="dxa"/>
            <w:shd w:val="clear" w:color="auto" w:fill="auto"/>
            <w:noWrap/>
            <w:vAlign w:val="bottom"/>
            <w:hideMark/>
          </w:tcPr>
          <w:p w14:paraId="7D1D6AE6"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57,500</w:t>
            </w:r>
          </w:p>
        </w:tc>
        <w:tc>
          <w:tcPr>
            <w:tcW w:w="1418" w:type="dxa"/>
            <w:shd w:val="clear" w:color="auto" w:fill="auto"/>
            <w:noWrap/>
            <w:vAlign w:val="bottom"/>
            <w:hideMark/>
          </w:tcPr>
          <w:p w14:paraId="6C9AF0B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11,300</w:t>
            </w:r>
          </w:p>
        </w:tc>
        <w:tc>
          <w:tcPr>
            <w:tcW w:w="1701" w:type="dxa"/>
            <w:shd w:val="clear" w:color="auto" w:fill="auto"/>
            <w:noWrap/>
            <w:vAlign w:val="bottom"/>
            <w:hideMark/>
          </w:tcPr>
          <w:p w14:paraId="0F1088F3"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80%</w:t>
            </w:r>
          </w:p>
        </w:tc>
      </w:tr>
      <w:tr w:rsidR="007D4A4D" w:rsidRPr="00E76EED" w14:paraId="5DFB040B" w14:textId="77777777" w:rsidTr="008532BB">
        <w:trPr>
          <w:trHeight w:val="300"/>
        </w:trPr>
        <w:tc>
          <w:tcPr>
            <w:tcW w:w="3686" w:type="dxa"/>
            <w:shd w:val="clear" w:color="auto" w:fill="auto"/>
            <w:noWrap/>
            <w:vAlign w:val="bottom"/>
            <w:hideMark/>
          </w:tcPr>
          <w:p w14:paraId="48B77782"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 xml:space="preserve">High security hospitals / secure </w:t>
            </w:r>
            <w:proofErr w:type="spellStart"/>
            <w:r w:rsidRPr="00E76EED">
              <w:rPr>
                <w:rFonts w:eastAsia="Times New Roman"/>
                <w:lang w:eastAsia="en-GB"/>
              </w:rPr>
              <w:t>estab</w:t>
            </w:r>
            <w:proofErr w:type="spellEnd"/>
            <w:r>
              <w:rPr>
                <w:rFonts w:eastAsia="Times New Roman"/>
                <w:lang w:eastAsia="en-GB"/>
              </w:rPr>
              <w:t>.</w:t>
            </w:r>
          </w:p>
        </w:tc>
        <w:tc>
          <w:tcPr>
            <w:tcW w:w="1110" w:type="dxa"/>
            <w:shd w:val="clear" w:color="auto" w:fill="auto"/>
            <w:noWrap/>
            <w:vAlign w:val="bottom"/>
            <w:hideMark/>
          </w:tcPr>
          <w:p w14:paraId="417082BB"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500</w:t>
            </w:r>
          </w:p>
        </w:tc>
        <w:tc>
          <w:tcPr>
            <w:tcW w:w="1299" w:type="dxa"/>
            <w:shd w:val="clear" w:color="auto" w:fill="auto"/>
            <w:noWrap/>
            <w:vAlign w:val="bottom"/>
            <w:hideMark/>
          </w:tcPr>
          <w:p w14:paraId="145404DF"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500</w:t>
            </w:r>
          </w:p>
        </w:tc>
        <w:tc>
          <w:tcPr>
            <w:tcW w:w="1418" w:type="dxa"/>
            <w:shd w:val="clear" w:color="auto" w:fill="auto"/>
            <w:noWrap/>
            <w:vAlign w:val="bottom"/>
            <w:hideMark/>
          </w:tcPr>
          <w:p w14:paraId="764B96AE" w14:textId="77777777" w:rsidR="007D4A4D" w:rsidRPr="00E76EED" w:rsidRDefault="007D4A4D" w:rsidP="008532BB">
            <w:pPr>
              <w:spacing w:after="0" w:line="240" w:lineRule="auto"/>
              <w:jc w:val="right"/>
              <w:rPr>
                <w:rFonts w:eastAsia="Times New Roman"/>
                <w:lang w:eastAsia="en-GB"/>
              </w:rPr>
            </w:pPr>
            <w:r>
              <w:rPr>
                <w:rFonts w:eastAsia="Times New Roman"/>
                <w:lang w:eastAsia="en-GB"/>
              </w:rPr>
              <w:t>-</w:t>
            </w:r>
          </w:p>
        </w:tc>
        <w:tc>
          <w:tcPr>
            <w:tcW w:w="1701" w:type="dxa"/>
            <w:shd w:val="clear" w:color="auto" w:fill="auto"/>
            <w:noWrap/>
            <w:vAlign w:val="bottom"/>
            <w:hideMark/>
          </w:tcPr>
          <w:p w14:paraId="4CE08FD7"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308D1E76" w14:textId="77777777" w:rsidTr="008532BB">
        <w:trPr>
          <w:trHeight w:val="300"/>
        </w:trPr>
        <w:tc>
          <w:tcPr>
            <w:tcW w:w="3686" w:type="dxa"/>
            <w:shd w:val="clear" w:color="auto" w:fill="auto"/>
            <w:noWrap/>
            <w:vAlign w:val="bottom"/>
            <w:hideMark/>
          </w:tcPr>
          <w:p w14:paraId="01D70B24"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Hospitals</w:t>
            </w:r>
          </w:p>
        </w:tc>
        <w:tc>
          <w:tcPr>
            <w:tcW w:w="1110" w:type="dxa"/>
            <w:shd w:val="clear" w:color="auto" w:fill="auto"/>
            <w:noWrap/>
            <w:vAlign w:val="bottom"/>
            <w:hideMark/>
          </w:tcPr>
          <w:p w14:paraId="31D32232"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900</w:t>
            </w:r>
          </w:p>
        </w:tc>
        <w:tc>
          <w:tcPr>
            <w:tcW w:w="1299" w:type="dxa"/>
            <w:shd w:val="clear" w:color="auto" w:fill="auto"/>
            <w:noWrap/>
            <w:vAlign w:val="bottom"/>
            <w:hideMark/>
          </w:tcPr>
          <w:p w14:paraId="0BD3A1E6"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900</w:t>
            </w:r>
          </w:p>
        </w:tc>
        <w:tc>
          <w:tcPr>
            <w:tcW w:w="1418" w:type="dxa"/>
            <w:shd w:val="clear" w:color="auto" w:fill="auto"/>
            <w:noWrap/>
            <w:vAlign w:val="bottom"/>
            <w:hideMark/>
          </w:tcPr>
          <w:p w14:paraId="50F6B4D8"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0</w:t>
            </w:r>
          </w:p>
        </w:tc>
        <w:tc>
          <w:tcPr>
            <w:tcW w:w="1701" w:type="dxa"/>
            <w:shd w:val="clear" w:color="auto" w:fill="auto"/>
            <w:noWrap/>
            <w:vAlign w:val="bottom"/>
            <w:hideMark/>
          </w:tcPr>
          <w:p w14:paraId="23849677"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1FC6B0E3" w14:textId="77777777" w:rsidTr="008532BB">
        <w:trPr>
          <w:trHeight w:val="300"/>
        </w:trPr>
        <w:tc>
          <w:tcPr>
            <w:tcW w:w="3686" w:type="dxa"/>
            <w:shd w:val="clear" w:color="auto" w:fill="auto"/>
            <w:noWrap/>
            <w:vAlign w:val="bottom"/>
            <w:hideMark/>
          </w:tcPr>
          <w:p w14:paraId="30D6566E"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Hostel for the homeless</w:t>
            </w:r>
          </w:p>
        </w:tc>
        <w:tc>
          <w:tcPr>
            <w:tcW w:w="1110" w:type="dxa"/>
            <w:shd w:val="clear" w:color="auto" w:fill="auto"/>
            <w:noWrap/>
            <w:vAlign w:val="bottom"/>
            <w:hideMark/>
          </w:tcPr>
          <w:p w14:paraId="29BE9154"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1,600</w:t>
            </w:r>
          </w:p>
        </w:tc>
        <w:tc>
          <w:tcPr>
            <w:tcW w:w="1299" w:type="dxa"/>
            <w:shd w:val="clear" w:color="auto" w:fill="auto"/>
            <w:noWrap/>
            <w:vAlign w:val="bottom"/>
            <w:hideMark/>
          </w:tcPr>
          <w:p w14:paraId="0EDA156A"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2,100</w:t>
            </w:r>
          </w:p>
        </w:tc>
        <w:tc>
          <w:tcPr>
            <w:tcW w:w="1418" w:type="dxa"/>
            <w:shd w:val="clear" w:color="auto" w:fill="auto"/>
            <w:noWrap/>
            <w:vAlign w:val="bottom"/>
            <w:hideMark/>
          </w:tcPr>
          <w:p w14:paraId="5F744B7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600</w:t>
            </w:r>
          </w:p>
        </w:tc>
        <w:tc>
          <w:tcPr>
            <w:tcW w:w="1701" w:type="dxa"/>
            <w:shd w:val="clear" w:color="auto" w:fill="auto"/>
            <w:noWrap/>
            <w:vAlign w:val="bottom"/>
            <w:hideMark/>
          </w:tcPr>
          <w:p w14:paraId="0B7EEFEB"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76%</w:t>
            </w:r>
          </w:p>
        </w:tc>
      </w:tr>
      <w:tr w:rsidR="007D4A4D" w:rsidRPr="00E76EED" w14:paraId="213307B8" w14:textId="77777777" w:rsidTr="008532BB">
        <w:trPr>
          <w:trHeight w:val="300"/>
        </w:trPr>
        <w:tc>
          <w:tcPr>
            <w:tcW w:w="3686" w:type="dxa"/>
            <w:shd w:val="clear" w:color="auto" w:fill="auto"/>
            <w:noWrap/>
            <w:vAlign w:val="bottom"/>
            <w:hideMark/>
          </w:tcPr>
          <w:p w14:paraId="247CB5E1"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Occupational hostels</w:t>
            </w:r>
          </w:p>
        </w:tc>
        <w:tc>
          <w:tcPr>
            <w:tcW w:w="1110" w:type="dxa"/>
            <w:shd w:val="clear" w:color="auto" w:fill="auto"/>
            <w:noWrap/>
            <w:vAlign w:val="bottom"/>
            <w:hideMark/>
          </w:tcPr>
          <w:p w14:paraId="5F5A422B"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0</w:t>
            </w:r>
          </w:p>
        </w:tc>
        <w:tc>
          <w:tcPr>
            <w:tcW w:w="1299" w:type="dxa"/>
            <w:shd w:val="clear" w:color="auto" w:fill="auto"/>
            <w:noWrap/>
            <w:vAlign w:val="bottom"/>
            <w:hideMark/>
          </w:tcPr>
          <w:p w14:paraId="24A945C3"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0</w:t>
            </w:r>
          </w:p>
        </w:tc>
        <w:tc>
          <w:tcPr>
            <w:tcW w:w="1418" w:type="dxa"/>
            <w:shd w:val="clear" w:color="auto" w:fill="auto"/>
            <w:noWrap/>
            <w:vAlign w:val="bottom"/>
            <w:hideMark/>
          </w:tcPr>
          <w:p w14:paraId="0CE61106" w14:textId="77777777" w:rsidR="007D4A4D" w:rsidRPr="00E76EED" w:rsidRDefault="007D4A4D" w:rsidP="008532BB">
            <w:pPr>
              <w:spacing w:after="0" w:line="240" w:lineRule="auto"/>
              <w:jc w:val="right"/>
              <w:rPr>
                <w:rFonts w:eastAsia="Times New Roman"/>
                <w:lang w:eastAsia="en-GB"/>
              </w:rPr>
            </w:pPr>
            <w:r>
              <w:rPr>
                <w:rFonts w:eastAsia="Times New Roman"/>
                <w:lang w:eastAsia="en-GB"/>
              </w:rPr>
              <w:t>-</w:t>
            </w:r>
          </w:p>
        </w:tc>
        <w:tc>
          <w:tcPr>
            <w:tcW w:w="1701" w:type="dxa"/>
            <w:shd w:val="clear" w:color="auto" w:fill="auto"/>
            <w:noWrap/>
            <w:vAlign w:val="bottom"/>
            <w:hideMark/>
          </w:tcPr>
          <w:p w14:paraId="7127DC15"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6E4AEB15" w14:textId="77777777" w:rsidTr="008532BB">
        <w:trPr>
          <w:trHeight w:val="300"/>
        </w:trPr>
        <w:tc>
          <w:tcPr>
            <w:tcW w:w="3686" w:type="dxa"/>
            <w:shd w:val="clear" w:color="auto" w:fill="auto"/>
            <w:noWrap/>
            <w:vAlign w:val="bottom"/>
            <w:hideMark/>
          </w:tcPr>
          <w:p w14:paraId="3DBBDB83"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Other</w:t>
            </w:r>
          </w:p>
        </w:tc>
        <w:tc>
          <w:tcPr>
            <w:tcW w:w="1110" w:type="dxa"/>
            <w:shd w:val="clear" w:color="auto" w:fill="auto"/>
            <w:noWrap/>
            <w:vAlign w:val="bottom"/>
            <w:hideMark/>
          </w:tcPr>
          <w:p w14:paraId="6AE0F6DF"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200</w:t>
            </w:r>
          </w:p>
        </w:tc>
        <w:tc>
          <w:tcPr>
            <w:tcW w:w="1299" w:type="dxa"/>
            <w:shd w:val="clear" w:color="auto" w:fill="auto"/>
            <w:noWrap/>
            <w:vAlign w:val="bottom"/>
            <w:hideMark/>
          </w:tcPr>
          <w:p w14:paraId="536BB163"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200</w:t>
            </w:r>
          </w:p>
        </w:tc>
        <w:tc>
          <w:tcPr>
            <w:tcW w:w="1418" w:type="dxa"/>
            <w:shd w:val="clear" w:color="auto" w:fill="auto"/>
            <w:noWrap/>
            <w:vAlign w:val="bottom"/>
            <w:hideMark/>
          </w:tcPr>
          <w:p w14:paraId="6580FDDA" w14:textId="77777777" w:rsidR="007D4A4D" w:rsidRPr="00E76EED" w:rsidRDefault="007D4A4D" w:rsidP="008532BB">
            <w:pPr>
              <w:spacing w:after="0" w:line="240" w:lineRule="auto"/>
              <w:jc w:val="right"/>
              <w:rPr>
                <w:rFonts w:eastAsia="Times New Roman"/>
                <w:lang w:eastAsia="en-GB"/>
              </w:rPr>
            </w:pPr>
            <w:r>
              <w:rPr>
                <w:rFonts w:eastAsia="Times New Roman"/>
                <w:lang w:eastAsia="en-GB"/>
              </w:rPr>
              <w:t>-</w:t>
            </w:r>
          </w:p>
        </w:tc>
        <w:tc>
          <w:tcPr>
            <w:tcW w:w="1701" w:type="dxa"/>
            <w:shd w:val="clear" w:color="auto" w:fill="auto"/>
            <w:noWrap/>
            <w:vAlign w:val="bottom"/>
            <w:hideMark/>
          </w:tcPr>
          <w:p w14:paraId="20977AB3"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516BD1E3" w14:textId="77777777" w:rsidTr="008532BB">
        <w:trPr>
          <w:trHeight w:val="300"/>
        </w:trPr>
        <w:tc>
          <w:tcPr>
            <w:tcW w:w="3686" w:type="dxa"/>
            <w:shd w:val="clear" w:color="auto" w:fill="auto"/>
            <w:noWrap/>
            <w:vAlign w:val="bottom"/>
            <w:hideMark/>
          </w:tcPr>
          <w:p w14:paraId="4B297E76"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Other educational establishments</w:t>
            </w:r>
          </w:p>
        </w:tc>
        <w:tc>
          <w:tcPr>
            <w:tcW w:w="1110" w:type="dxa"/>
            <w:shd w:val="clear" w:color="auto" w:fill="auto"/>
            <w:noWrap/>
            <w:vAlign w:val="bottom"/>
            <w:hideMark/>
          </w:tcPr>
          <w:p w14:paraId="11E55C32"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400</w:t>
            </w:r>
          </w:p>
        </w:tc>
        <w:tc>
          <w:tcPr>
            <w:tcW w:w="1299" w:type="dxa"/>
            <w:shd w:val="clear" w:color="auto" w:fill="auto"/>
            <w:noWrap/>
            <w:vAlign w:val="bottom"/>
            <w:hideMark/>
          </w:tcPr>
          <w:p w14:paraId="270EB026"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400</w:t>
            </w:r>
          </w:p>
        </w:tc>
        <w:tc>
          <w:tcPr>
            <w:tcW w:w="1418" w:type="dxa"/>
            <w:shd w:val="clear" w:color="auto" w:fill="auto"/>
            <w:noWrap/>
            <w:vAlign w:val="bottom"/>
            <w:hideMark/>
          </w:tcPr>
          <w:p w14:paraId="79886E4E"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0</w:t>
            </w:r>
          </w:p>
        </w:tc>
        <w:tc>
          <w:tcPr>
            <w:tcW w:w="1701" w:type="dxa"/>
            <w:shd w:val="clear" w:color="auto" w:fill="auto"/>
            <w:noWrap/>
            <w:vAlign w:val="bottom"/>
            <w:hideMark/>
          </w:tcPr>
          <w:p w14:paraId="01FC91A3"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7EDB3D75" w14:textId="77777777" w:rsidTr="008532BB">
        <w:trPr>
          <w:trHeight w:val="300"/>
        </w:trPr>
        <w:tc>
          <w:tcPr>
            <w:tcW w:w="3686" w:type="dxa"/>
            <w:shd w:val="clear" w:color="auto" w:fill="auto"/>
            <w:noWrap/>
            <w:vAlign w:val="bottom"/>
            <w:hideMark/>
          </w:tcPr>
          <w:p w14:paraId="305FC9BC"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Religious institutions</w:t>
            </w:r>
          </w:p>
        </w:tc>
        <w:tc>
          <w:tcPr>
            <w:tcW w:w="1110" w:type="dxa"/>
            <w:shd w:val="clear" w:color="auto" w:fill="auto"/>
            <w:noWrap/>
            <w:vAlign w:val="bottom"/>
            <w:hideMark/>
          </w:tcPr>
          <w:p w14:paraId="65CAFABA"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300</w:t>
            </w:r>
          </w:p>
        </w:tc>
        <w:tc>
          <w:tcPr>
            <w:tcW w:w="1299" w:type="dxa"/>
            <w:shd w:val="clear" w:color="auto" w:fill="auto"/>
            <w:noWrap/>
            <w:vAlign w:val="bottom"/>
            <w:hideMark/>
          </w:tcPr>
          <w:p w14:paraId="37018BB6"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300</w:t>
            </w:r>
          </w:p>
        </w:tc>
        <w:tc>
          <w:tcPr>
            <w:tcW w:w="1418" w:type="dxa"/>
            <w:shd w:val="clear" w:color="auto" w:fill="auto"/>
            <w:noWrap/>
            <w:vAlign w:val="bottom"/>
            <w:hideMark/>
          </w:tcPr>
          <w:p w14:paraId="51598C4C" w14:textId="77777777" w:rsidR="007D4A4D" w:rsidRPr="00E76EED" w:rsidRDefault="007D4A4D" w:rsidP="008532BB">
            <w:pPr>
              <w:spacing w:after="0" w:line="240" w:lineRule="auto"/>
              <w:jc w:val="right"/>
              <w:rPr>
                <w:rFonts w:eastAsia="Times New Roman"/>
                <w:lang w:eastAsia="en-GB"/>
              </w:rPr>
            </w:pPr>
            <w:r>
              <w:rPr>
                <w:rFonts w:eastAsia="Times New Roman"/>
                <w:lang w:eastAsia="en-GB"/>
              </w:rPr>
              <w:t>-</w:t>
            </w:r>
          </w:p>
        </w:tc>
        <w:tc>
          <w:tcPr>
            <w:tcW w:w="1701" w:type="dxa"/>
            <w:shd w:val="clear" w:color="auto" w:fill="auto"/>
            <w:noWrap/>
            <w:vAlign w:val="bottom"/>
            <w:hideMark/>
          </w:tcPr>
          <w:p w14:paraId="73682EE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r w:rsidR="007D4A4D" w:rsidRPr="00E76EED" w14:paraId="54859C25" w14:textId="77777777" w:rsidTr="008532BB">
        <w:trPr>
          <w:trHeight w:val="300"/>
        </w:trPr>
        <w:tc>
          <w:tcPr>
            <w:tcW w:w="3686" w:type="dxa"/>
            <w:shd w:val="clear" w:color="auto" w:fill="auto"/>
            <w:noWrap/>
            <w:vAlign w:val="bottom"/>
            <w:hideMark/>
          </w:tcPr>
          <w:p w14:paraId="3BD1BBE6"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Residential / nursing homes</w:t>
            </w:r>
          </w:p>
        </w:tc>
        <w:tc>
          <w:tcPr>
            <w:tcW w:w="1110" w:type="dxa"/>
            <w:shd w:val="clear" w:color="auto" w:fill="auto"/>
            <w:noWrap/>
            <w:vAlign w:val="bottom"/>
            <w:hideMark/>
          </w:tcPr>
          <w:p w14:paraId="78222CE9"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12,500</w:t>
            </w:r>
          </w:p>
        </w:tc>
        <w:tc>
          <w:tcPr>
            <w:tcW w:w="1299" w:type="dxa"/>
            <w:shd w:val="clear" w:color="auto" w:fill="auto"/>
            <w:noWrap/>
            <w:vAlign w:val="bottom"/>
            <w:hideMark/>
          </w:tcPr>
          <w:p w14:paraId="5221D5FD"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13,000</w:t>
            </w:r>
          </w:p>
        </w:tc>
        <w:tc>
          <w:tcPr>
            <w:tcW w:w="1418" w:type="dxa"/>
            <w:shd w:val="clear" w:color="auto" w:fill="auto"/>
            <w:noWrap/>
            <w:vAlign w:val="bottom"/>
            <w:hideMark/>
          </w:tcPr>
          <w:p w14:paraId="771B21C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500</w:t>
            </w:r>
          </w:p>
        </w:tc>
        <w:tc>
          <w:tcPr>
            <w:tcW w:w="1701" w:type="dxa"/>
            <w:shd w:val="clear" w:color="auto" w:fill="auto"/>
            <w:noWrap/>
            <w:vAlign w:val="bottom"/>
            <w:hideMark/>
          </w:tcPr>
          <w:p w14:paraId="66EAB098"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96%</w:t>
            </w:r>
          </w:p>
        </w:tc>
      </w:tr>
      <w:tr w:rsidR="007D4A4D" w:rsidRPr="00E76EED" w14:paraId="6B848508" w14:textId="77777777" w:rsidTr="008532BB">
        <w:trPr>
          <w:trHeight w:val="300"/>
        </w:trPr>
        <w:tc>
          <w:tcPr>
            <w:tcW w:w="3686" w:type="dxa"/>
            <w:shd w:val="clear" w:color="auto" w:fill="auto"/>
            <w:noWrap/>
            <w:vAlign w:val="bottom"/>
            <w:hideMark/>
          </w:tcPr>
          <w:p w14:paraId="24C42AFC"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Services accommodation</w:t>
            </w:r>
          </w:p>
        </w:tc>
        <w:tc>
          <w:tcPr>
            <w:tcW w:w="1110" w:type="dxa"/>
            <w:shd w:val="clear" w:color="auto" w:fill="auto"/>
            <w:noWrap/>
            <w:vAlign w:val="bottom"/>
            <w:hideMark/>
          </w:tcPr>
          <w:p w14:paraId="14B1BC79"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28,900</w:t>
            </w:r>
          </w:p>
        </w:tc>
        <w:tc>
          <w:tcPr>
            <w:tcW w:w="1299" w:type="dxa"/>
            <w:shd w:val="clear" w:color="auto" w:fill="auto"/>
            <w:noWrap/>
            <w:vAlign w:val="bottom"/>
            <w:hideMark/>
          </w:tcPr>
          <w:p w14:paraId="019826E8"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34,700</w:t>
            </w:r>
          </w:p>
        </w:tc>
        <w:tc>
          <w:tcPr>
            <w:tcW w:w="1418" w:type="dxa"/>
            <w:shd w:val="clear" w:color="auto" w:fill="auto"/>
            <w:noWrap/>
            <w:vAlign w:val="bottom"/>
            <w:hideMark/>
          </w:tcPr>
          <w:p w14:paraId="4519478E"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5,800</w:t>
            </w:r>
          </w:p>
        </w:tc>
        <w:tc>
          <w:tcPr>
            <w:tcW w:w="1701" w:type="dxa"/>
            <w:shd w:val="clear" w:color="auto" w:fill="auto"/>
            <w:noWrap/>
            <w:vAlign w:val="bottom"/>
            <w:hideMark/>
          </w:tcPr>
          <w:p w14:paraId="75DAF20B"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83%</w:t>
            </w:r>
          </w:p>
        </w:tc>
      </w:tr>
      <w:tr w:rsidR="007D4A4D" w:rsidRPr="00E76EED" w14:paraId="63C71364" w14:textId="77777777" w:rsidTr="008532BB">
        <w:trPr>
          <w:trHeight w:val="300"/>
        </w:trPr>
        <w:tc>
          <w:tcPr>
            <w:tcW w:w="3686" w:type="dxa"/>
            <w:shd w:val="clear" w:color="auto" w:fill="auto"/>
            <w:noWrap/>
            <w:vAlign w:val="bottom"/>
            <w:hideMark/>
          </w:tcPr>
          <w:p w14:paraId="55F0799E"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Student halls</w:t>
            </w:r>
          </w:p>
        </w:tc>
        <w:tc>
          <w:tcPr>
            <w:tcW w:w="1110" w:type="dxa"/>
            <w:shd w:val="clear" w:color="auto" w:fill="auto"/>
            <w:noWrap/>
            <w:vAlign w:val="bottom"/>
            <w:hideMark/>
          </w:tcPr>
          <w:p w14:paraId="05768A07"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213,100</w:t>
            </w:r>
          </w:p>
        </w:tc>
        <w:tc>
          <w:tcPr>
            <w:tcW w:w="1299" w:type="dxa"/>
            <w:shd w:val="clear" w:color="auto" w:fill="auto"/>
            <w:noWrap/>
            <w:vAlign w:val="bottom"/>
            <w:hideMark/>
          </w:tcPr>
          <w:p w14:paraId="2F99EA0A"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247,900</w:t>
            </w:r>
          </w:p>
        </w:tc>
        <w:tc>
          <w:tcPr>
            <w:tcW w:w="1418" w:type="dxa"/>
            <w:shd w:val="clear" w:color="auto" w:fill="auto"/>
            <w:noWrap/>
            <w:vAlign w:val="bottom"/>
            <w:hideMark/>
          </w:tcPr>
          <w:p w14:paraId="3EB43DA7"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34,800</w:t>
            </w:r>
          </w:p>
        </w:tc>
        <w:tc>
          <w:tcPr>
            <w:tcW w:w="1701" w:type="dxa"/>
            <w:shd w:val="clear" w:color="auto" w:fill="auto"/>
            <w:noWrap/>
            <w:vAlign w:val="bottom"/>
            <w:hideMark/>
          </w:tcPr>
          <w:p w14:paraId="23ADF61A"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86%</w:t>
            </w:r>
          </w:p>
        </w:tc>
      </w:tr>
      <w:tr w:rsidR="007D4A4D" w:rsidRPr="00E76EED" w14:paraId="1E4A2023" w14:textId="77777777" w:rsidTr="008532BB">
        <w:trPr>
          <w:trHeight w:val="300"/>
        </w:trPr>
        <w:tc>
          <w:tcPr>
            <w:tcW w:w="3686" w:type="dxa"/>
            <w:shd w:val="clear" w:color="auto" w:fill="auto"/>
            <w:noWrap/>
            <w:vAlign w:val="bottom"/>
            <w:hideMark/>
          </w:tcPr>
          <w:p w14:paraId="673FDC43" w14:textId="77777777" w:rsidR="007D4A4D" w:rsidRPr="00E76EED" w:rsidRDefault="007D4A4D" w:rsidP="008532BB">
            <w:pPr>
              <w:spacing w:after="0" w:line="240" w:lineRule="auto"/>
              <w:rPr>
                <w:rFonts w:eastAsia="Times New Roman"/>
                <w:lang w:eastAsia="en-GB"/>
              </w:rPr>
            </w:pPr>
            <w:r w:rsidRPr="00E76EED">
              <w:rPr>
                <w:rFonts w:eastAsia="Times New Roman"/>
                <w:lang w:eastAsia="en-GB"/>
              </w:rPr>
              <w:t>Travel and leisure</w:t>
            </w:r>
          </w:p>
        </w:tc>
        <w:tc>
          <w:tcPr>
            <w:tcW w:w="1110" w:type="dxa"/>
            <w:shd w:val="clear" w:color="auto" w:fill="auto"/>
            <w:noWrap/>
            <w:vAlign w:val="bottom"/>
            <w:hideMark/>
          </w:tcPr>
          <w:p w14:paraId="17F1D6A0"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300</w:t>
            </w:r>
          </w:p>
        </w:tc>
        <w:tc>
          <w:tcPr>
            <w:tcW w:w="1299" w:type="dxa"/>
            <w:shd w:val="clear" w:color="auto" w:fill="auto"/>
            <w:noWrap/>
            <w:vAlign w:val="bottom"/>
            <w:hideMark/>
          </w:tcPr>
          <w:p w14:paraId="33C37B43" w14:textId="77777777" w:rsidR="007D4A4D" w:rsidRPr="00E76EED" w:rsidRDefault="007D4A4D" w:rsidP="008532BB">
            <w:pPr>
              <w:spacing w:after="0" w:line="240" w:lineRule="auto"/>
              <w:jc w:val="right"/>
              <w:rPr>
                <w:rFonts w:eastAsia="Times New Roman"/>
                <w:b/>
                <w:bCs/>
                <w:lang w:eastAsia="en-GB"/>
              </w:rPr>
            </w:pPr>
            <w:r w:rsidRPr="00E76EED">
              <w:rPr>
                <w:rFonts w:eastAsia="Times New Roman"/>
                <w:b/>
                <w:bCs/>
                <w:lang w:eastAsia="en-GB"/>
              </w:rPr>
              <w:t>300</w:t>
            </w:r>
          </w:p>
        </w:tc>
        <w:tc>
          <w:tcPr>
            <w:tcW w:w="1418" w:type="dxa"/>
            <w:shd w:val="clear" w:color="auto" w:fill="auto"/>
            <w:noWrap/>
            <w:vAlign w:val="bottom"/>
            <w:hideMark/>
          </w:tcPr>
          <w:p w14:paraId="6D5C8996" w14:textId="77777777" w:rsidR="007D4A4D" w:rsidRPr="00E76EED" w:rsidRDefault="007D4A4D" w:rsidP="008532BB">
            <w:pPr>
              <w:spacing w:after="0" w:line="240" w:lineRule="auto"/>
              <w:jc w:val="right"/>
              <w:rPr>
                <w:rFonts w:eastAsia="Times New Roman"/>
                <w:lang w:eastAsia="en-GB"/>
              </w:rPr>
            </w:pPr>
            <w:r>
              <w:rPr>
                <w:rFonts w:eastAsia="Times New Roman"/>
                <w:lang w:eastAsia="en-GB"/>
              </w:rPr>
              <w:t>-</w:t>
            </w:r>
          </w:p>
        </w:tc>
        <w:tc>
          <w:tcPr>
            <w:tcW w:w="1701" w:type="dxa"/>
            <w:shd w:val="clear" w:color="auto" w:fill="auto"/>
            <w:noWrap/>
            <w:vAlign w:val="bottom"/>
            <w:hideMark/>
          </w:tcPr>
          <w:p w14:paraId="12172DF1" w14:textId="77777777" w:rsidR="007D4A4D" w:rsidRPr="00E76EED" w:rsidRDefault="007D4A4D" w:rsidP="008532BB">
            <w:pPr>
              <w:spacing w:after="0" w:line="240" w:lineRule="auto"/>
              <w:jc w:val="right"/>
              <w:rPr>
                <w:rFonts w:eastAsia="Times New Roman"/>
                <w:lang w:eastAsia="en-GB"/>
              </w:rPr>
            </w:pPr>
            <w:r w:rsidRPr="00E76EED">
              <w:rPr>
                <w:rFonts w:eastAsia="Times New Roman"/>
                <w:lang w:eastAsia="en-GB"/>
              </w:rPr>
              <w:t>100%</w:t>
            </w:r>
          </w:p>
        </w:tc>
      </w:tr>
    </w:tbl>
    <w:p w14:paraId="1CBFB14A" w14:textId="77777777" w:rsidR="007D4A4D" w:rsidRDefault="007D4A4D" w:rsidP="007D4A4D">
      <w:pPr>
        <w:pStyle w:val="null"/>
        <w:spacing w:beforeAutospacing="0" w:after="0" w:afterAutospacing="0"/>
        <w:ind w:right="720"/>
      </w:pPr>
      <w:r>
        <w:rPr>
          <w:rFonts w:asciiTheme="minorHAnsi" w:hAnsiTheme="minorHAnsi"/>
        </w:rPr>
        <w:t xml:space="preserve">Note: </w:t>
      </w:r>
      <w:r w:rsidRPr="00CC098A">
        <w:rPr>
          <w:rFonts w:asciiTheme="minorHAnsi" w:hAnsiTheme="minorHAnsi"/>
        </w:rPr>
        <w:t>Figures in this table are rounded to the nearest 100.</w:t>
      </w:r>
      <w:r>
        <w:rPr>
          <w:rFonts w:asciiTheme="minorHAnsi" w:hAnsiTheme="minorHAnsi"/>
        </w:rPr>
        <w:t xml:space="preserve">  A zero represents this has been rounded to zero. A (–) represents a real zero. Only those establishment types where there </w:t>
      </w:r>
      <w:proofErr w:type="gramStart"/>
      <w:r>
        <w:rPr>
          <w:rFonts w:asciiTheme="minorHAnsi" w:hAnsiTheme="minorHAnsi"/>
        </w:rPr>
        <w:t>is</w:t>
      </w:r>
      <w:proofErr w:type="gramEnd"/>
      <w:r>
        <w:rPr>
          <w:rFonts w:asciiTheme="minorHAnsi" w:hAnsiTheme="minorHAnsi"/>
        </w:rPr>
        <w:t xml:space="preserve"> one or more usual residents counted in large CEs are included in this table.</w:t>
      </w:r>
    </w:p>
    <w:p w14:paraId="044FAAD7" w14:textId="7032AF5C" w:rsidR="001E6B26" w:rsidRDefault="001E6B26">
      <w:pPr>
        <w:rPr>
          <w:rFonts w:ascii="Calibri" w:hAnsi="Calibri" w:cs="Calibri"/>
          <w:lang w:eastAsia="en-GB"/>
        </w:rPr>
      </w:pPr>
    </w:p>
    <w:p w14:paraId="0222E53F" w14:textId="77777777" w:rsidR="008532BB" w:rsidRDefault="008532BB" w:rsidP="007D4A4D">
      <w:pPr>
        <w:spacing w:after="0"/>
        <w:rPr>
          <w:rFonts w:cstheme="minorHAnsi"/>
          <w:b/>
          <w:bCs/>
        </w:rPr>
      </w:pPr>
    </w:p>
    <w:p w14:paraId="08AF4E8C" w14:textId="77777777" w:rsidR="008532BB" w:rsidRDefault="008532BB" w:rsidP="007D4A4D">
      <w:pPr>
        <w:spacing w:after="0"/>
        <w:rPr>
          <w:rFonts w:cstheme="minorHAnsi"/>
          <w:b/>
          <w:bCs/>
        </w:rPr>
      </w:pPr>
    </w:p>
    <w:p w14:paraId="66A645F0" w14:textId="77777777" w:rsidR="008532BB" w:rsidRDefault="008532BB" w:rsidP="007D4A4D">
      <w:pPr>
        <w:spacing w:after="0"/>
        <w:rPr>
          <w:rFonts w:cstheme="minorHAnsi"/>
          <w:b/>
          <w:bCs/>
        </w:rPr>
      </w:pPr>
    </w:p>
    <w:p w14:paraId="1FFBF018" w14:textId="4865060F" w:rsidR="007D4A4D" w:rsidRPr="00F82ADB" w:rsidRDefault="007D4A4D" w:rsidP="007D4A4D">
      <w:pPr>
        <w:spacing w:after="0"/>
        <w:rPr>
          <w:rFonts w:cstheme="minorHAnsi"/>
          <w:b/>
          <w:bCs/>
        </w:rPr>
      </w:pPr>
      <w:r w:rsidRPr="00F82ADB">
        <w:rPr>
          <w:rFonts w:cstheme="minorHAnsi"/>
          <w:b/>
          <w:bCs/>
        </w:rPr>
        <w:t xml:space="preserve">Table </w:t>
      </w:r>
      <w:r w:rsidR="008532BB">
        <w:rPr>
          <w:rFonts w:cstheme="minorHAnsi"/>
          <w:b/>
          <w:bCs/>
        </w:rPr>
        <w:t>D</w:t>
      </w:r>
      <w:r w:rsidRPr="00F82ADB">
        <w:rPr>
          <w:rFonts w:cstheme="minorHAnsi"/>
          <w:b/>
          <w:bCs/>
        </w:rPr>
        <w:t>4: of the large CEs investigated, percentage resolved using comparator, direct info or not adjusted</w:t>
      </w:r>
    </w:p>
    <w:tbl>
      <w:tblPr>
        <w:tblW w:w="8647" w:type="dxa"/>
        <w:tblLook w:val="04A0" w:firstRow="1" w:lastRow="0" w:firstColumn="1" w:lastColumn="0" w:noHBand="0" w:noVBand="1"/>
      </w:tblPr>
      <w:tblGrid>
        <w:gridCol w:w="2694"/>
        <w:gridCol w:w="1976"/>
        <w:gridCol w:w="2127"/>
        <w:gridCol w:w="1850"/>
      </w:tblGrid>
      <w:tr w:rsidR="007D4A4D" w:rsidRPr="00F82ADB" w14:paraId="2E852386" w14:textId="77777777" w:rsidTr="008532BB">
        <w:trPr>
          <w:trHeight w:val="792"/>
        </w:trPr>
        <w:tc>
          <w:tcPr>
            <w:tcW w:w="2694" w:type="dxa"/>
            <w:tcBorders>
              <w:top w:val="nil"/>
              <w:left w:val="nil"/>
              <w:bottom w:val="single" w:sz="4" w:space="0" w:color="auto"/>
              <w:right w:val="nil"/>
            </w:tcBorders>
            <w:shd w:val="clear" w:color="auto" w:fill="auto"/>
            <w:noWrap/>
            <w:vAlign w:val="center"/>
            <w:hideMark/>
          </w:tcPr>
          <w:p w14:paraId="1F368A35" w14:textId="77777777" w:rsidR="007D4A4D" w:rsidRPr="00F82ADB" w:rsidRDefault="007D4A4D" w:rsidP="008532BB">
            <w:pPr>
              <w:spacing w:after="0" w:line="240" w:lineRule="auto"/>
              <w:rPr>
                <w:rFonts w:ascii="Calibri" w:eastAsia="Times New Roman" w:hAnsi="Calibri" w:cs="Calibri"/>
                <w:b/>
                <w:bCs/>
                <w:color w:val="000000"/>
                <w:lang w:eastAsia="en-GB"/>
              </w:rPr>
            </w:pPr>
            <w:r w:rsidRPr="00F82ADB">
              <w:rPr>
                <w:rFonts w:ascii="Calibri" w:eastAsia="Times New Roman" w:hAnsi="Calibri" w:cs="Calibri"/>
                <w:b/>
                <w:bCs/>
                <w:color w:val="000000"/>
                <w:lang w:eastAsia="en-GB"/>
              </w:rPr>
              <w:t>Establishment type</w:t>
            </w:r>
          </w:p>
        </w:tc>
        <w:tc>
          <w:tcPr>
            <w:tcW w:w="1976" w:type="dxa"/>
            <w:tcBorders>
              <w:top w:val="nil"/>
              <w:left w:val="nil"/>
              <w:bottom w:val="single" w:sz="4" w:space="0" w:color="auto"/>
              <w:right w:val="nil"/>
            </w:tcBorders>
            <w:shd w:val="clear" w:color="auto" w:fill="auto"/>
            <w:vAlign w:val="center"/>
            <w:hideMark/>
          </w:tcPr>
          <w:p w14:paraId="0A60E3A8" w14:textId="77777777" w:rsidR="007D4A4D" w:rsidRPr="00F82ADB" w:rsidRDefault="007D4A4D" w:rsidP="008532BB">
            <w:pPr>
              <w:spacing w:after="0" w:line="240" w:lineRule="auto"/>
              <w:jc w:val="right"/>
              <w:rPr>
                <w:rFonts w:ascii="Calibri" w:eastAsia="Times New Roman" w:hAnsi="Calibri" w:cs="Calibri"/>
                <w:b/>
                <w:bCs/>
                <w:color w:val="000000"/>
                <w:lang w:eastAsia="en-GB"/>
              </w:rPr>
            </w:pPr>
            <w:r w:rsidRPr="00F82ADB">
              <w:rPr>
                <w:rFonts w:ascii="Calibri" w:eastAsia="Times New Roman" w:hAnsi="Calibri" w:cs="Calibri"/>
                <w:b/>
                <w:bCs/>
                <w:color w:val="000000"/>
                <w:lang w:eastAsia="en-GB"/>
              </w:rPr>
              <w:t>% resolved using admin comparator</w:t>
            </w:r>
          </w:p>
        </w:tc>
        <w:tc>
          <w:tcPr>
            <w:tcW w:w="2127" w:type="dxa"/>
            <w:tcBorders>
              <w:top w:val="nil"/>
              <w:left w:val="nil"/>
              <w:bottom w:val="single" w:sz="4" w:space="0" w:color="auto"/>
              <w:right w:val="nil"/>
            </w:tcBorders>
            <w:shd w:val="clear" w:color="auto" w:fill="auto"/>
            <w:vAlign w:val="center"/>
            <w:hideMark/>
          </w:tcPr>
          <w:p w14:paraId="420A53B0" w14:textId="77777777" w:rsidR="007D4A4D" w:rsidRPr="00F82ADB" w:rsidRDefault="007D4A4D" w:rsidP="008532BB">
            <w:pPr>
              <w:spacing w:after="0" w:line="240" w:lineRule="auto"/>
              <w:jc w:val="right"/>
              <w:rPr>
                <w:rFonts w:ascii="Calibri" w:eastAsia="Times New Roman" w:hAnsi="Calibri" w:cs="Calibri"/>
                <w:b/>
                <w:bCs/>
                <w:color w:val="000000"/>
                <w:lang w:eastAsia="en-GB"/>
              </w:rPr>
            </w:pPr>
            <w:r w:rsidRPr="00F82ADB">
              <w:rPr>
                <w:rFonts w:ascii="Calibri" w:eastAsia="Times New Roman" w:hAnsi="Calibri" w:cs="Calibri"/>
                <w:b/>
                <w:bCs/>
                <w:color w:val="000000"/>
                <w:lang w:eastAsia="en-GB"/>
              </w:rPr>
              <w:t xml:space="preserve">% resolved using info from direct </w:t>
            </w:r>
            <w:r>
              <w:rPr>
                <w:rFonts w:ascii="Calibri" w:eastAsia="Times New Roman" w:hAnsi="Calibri" w:cs="Calibri"/>
                <w:b/>
                <w:bCs/>
                <w:color w:val="000000"/>
                <w:lang w:eastAsia="en-GB"/>
              </w:rPr>
              <w:t>co</w:t>
            </w:r>
            <w:r w:rsidRPr="00F82ADB">
              <w:rPr>
                <w:rFonts w:ascii="Calibri" w:eastAsia="Times New Roman" w:hAnsi="Calibri" w:cs="Calibri"/>
                <w:b/>
                <w:bCs/>
                <w:color w:val="000000"/>
                <w:lang w:eastAsia="en-GB"/>
              </w:rPr>
              <w:t>ntact</w:t>
            </w:r>
          </w:p>
        </w:tc>
        <w:tc>
          <w:tcPr>
            <w:tcW w:w="1850" w:type="dxa"/>
            <w:tcBorders>
              <w:top w:val="nil"/>
              <w:left w:val="nil"/>
              <w:bottom w:val="single" w:sz="4" w:space="0" w:color="auto"/>
              <w:right w:val="nil"/>
            </w:tcBorders>
            <w:shd w:val="clear" w:color="auto" w:fill="auto"/>
            <w:vAlign w:val="center"/>
            <w:hideMark/>
          </w:tcPr>
          <w:p w14:paraId="21394E7F" w14:textId="77777777" w:rsidR="007D4A4D" w:rsidRPr="00F82ADB" w:rsidRDefault="007D4A4D" w:rsidP="008532BB">
            <w:pPr>
              <w:spacing w:after="0" w:line="240" w:lineRule="auto"/>
              <w:jc w:val="right"/>
              <w:rPr>
                <w:rFonts w:ascii="Calibri" w:eastAsia="Times New Roman" w:hAnsi="Calibri" w:cs="Calibri"/>
                <w:b/>
                <w:bCs/>
                <w:color w:val="000000"/>
                <w:lang w:eastAsia="en-GB"/>
              </w:rPr>
            </w:pPr>
            <w:r w:rsidRPr="00F82ADB">
              <w:rPr>
                <w:rFonts w:ascii="Calibri" w:eastAsia="Times New Roman" w:hAnsi="Calibri" w:cs="Calibri"/>
                <w:b/>
                <w:bCs/>
                <w:color w:val="000000"/>
                <w:lang w:eastAsia="en-GB"/>
              </w:rPr>
              <w:t>% with no adjustment</w:t>
            </w:r>
          </w:p>
        </w:tc>
      </w:tr>
      <w:tr w:rsidR="007D4A4D" w:rsidRPr="00F82ADB" w14:paraId="14AB05FF" w14:textId="77777777" w:rsidTr="008532BB">
        <w:trPr>
          <w:trHeight w:val="300"/>
        </w:trPr>
        <w:tc>
          <w:tcPr>
            <w:tcW w:w="2694" w:type="dxa"/>
            <w:tcBorders>
              <w:top w:val="single" w:sz="4" w:space="0" w:color="auto"/>
              <w:left w:val="nil"/>
              <w:bottom w:val="nil"/>
              <w:right w:val="nil"/>
            </w:tcBorders>
            <w:shd w:val="clear" w:color="auto" w:fill="auto"/>
            <w:noWrap/>
            <w:vAlign w:val="center"/>
            <w:hideMark/>
          </w:tcPr>
          <w:p w14:paraId="44B086CC"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Boarding School</w:t>
            </w:r>
          </w:p>
        </w:tc>
        <w:tc>
          <w:tcPr>
            <w:tcW w:w="1976" w:type="dxa"/>
            <w:tcBorders>
              <w:top w:val="single" w:sz="4" w:space="0" w:color="auto"/>
              <w:left w:val="nil"/>
              <w:bottom w:val="nil"/>
              <w:right w:val="nil"/>
            </w:tcBorders>
            <w:shd w:val="clear" w:color="auto" w:fill="auto"/>
            <w:noWrap/>
            <w:vAlign w:val="bottom"/>
            <w:hideMark/>
          </w:tcPr>
          <w:p w14:paraId="43302603"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7</w:t>
            </w:r>
          </w:p>
        </w:tc>
        <w:tc>
          <w:tcPr>
            <w:tcW w:w="2127" w:type="dxa"/>
            <w:tcBorders>
              <w:top w:val="single" w:sz="4" w:space="0" w:color="auto"/>
              <w:left w:val="nil"/>
              <w:bottom w:val="nil"/>
              <w:right w:val="nil"/>
            </w:tcBorders>
            <w:shd w:val="clear" w:color="auto" w:fill="auto"/>
            <w:noWrap/>
            <w:vAlign w:val="bottom"/>
            <w:hideMark/>
          </w:tcPr>
          <w:p w14:paraId="292F1C21"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38</w:t>
            </w:r>
          </w:p>
        </w:tc>
        <w:tc>
          <w:tcPr>
            <w:tcW w:w="1850" w:type="dxa"/>
            <w:tcBorders>
              <w:top w:val="single" w:sz="4" w:space="0" w:color="auto"/>
              <w:left w:val="nil"/>
              <w:bottom w:val="nil"/>
              <w:right w:val="nil"/>
            </w:tcBorders>
            <w:shd w:val="clear" w:color="auto" w:fill="auto"/>
            <w:noWrap/>
            <w:vAlign w:val="bottom"/>
            <w:hideMark/>
          </w:tcPr>
          <w:p w14:paraId="0F56EC11"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51</w:t>
            </w:r>
          </w:p>
        </w:tc>
      </w:tr>
      <w:tr w:rsidR="007D4A4D" w:rsidRPr="00F82ADB" w14:paraId="0C22CC2A" w14:textId="77777777" w:rsidTr="008532BB">
        <w:trPr>
          <w:trHeight w:val="300"/>
        </w:trPr>
        <w:tc>
          <w:tcPr>
            <w:tcW w:w="2694" w:type="dxa"/>
            <w:tcBorders>
              <w:top w:val="nil"/>
              <w:left w:val="nil"/>
              <w:bottom w:val="nil"/>
              <w:right w:val="nil"/>
            </w:tcBorders>
            <w:shd w:val="clear" w:color="auto" w:fill="auto"/>
            <w:noWrap/>
            <w:vAlign w:val="center"/>
            <w:hideMark/>
          </w:tcPr>
          <w:p w14:paraId="0011B57F"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Children’s homes</w:t>
            </w:r>
          </w:p>
        </w:tc>
        <w:tc>
          <w:tcPr>
            <w:tcW w:w="1976" w:type="dxa"/>
            <w:tcBorders>
              <w:top w:val="nil"/>
              <w:left w:val="nil"/>
              <w:bottom w:val="nil"/>
              <w:right w:val="nil"/>
            </w:tcBorders>
            <w:shd w:val="clear" w:color="auto" w:fill="auto"/>
            <w:noWrap/>
            <w:vAlign w:val="bottom"/>
            <w:hideMark/>
          </w:tcPr>
          <w:p w14:paraId="426C82E8" w14:textId="77777777" w:rsidR="007D4A4D" w:rsidRPr="00F82ADB" w:rsidRDefault="007D4A4D" w:rsidP="008532BB">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57E6D9D8" w14:textId="77777777" w:rsidR="007D4A4D" w:rsidRPr="00F82ADB" w:rsidRDefault="007D4A4D" w:rsidP="008532BB">
            <w:pPr>
              <w:spacing w:after="0" w:line="240" w:lineRule="auto"/>
              <w:rPr>
                <w:rFonts w:ascii="Times New Roman" w:eastAsia="Times New Roman" w:hAnsi="Times New Roman" w:cs="Times New Roman"/>
                <w:sz w:val="20"/>
                <w:szCs w:val="20"/>
                <w:lang w:eastAsia="en-GB"/>
              </w:rPr>
            </w:pPr>
          </w:p>
        </w:tc>
        <w:tc>
          <w:tcPr>
            <w:tcW w:w="1850" w:type="dxa"/>
            <w:tcBorders>
              <w:top w:val="nil"/>
              <w:left w:val="nil"/>
              <w:bottom w:val="nil"/>
              <w:right w:val="nil"/>
            </w:tcBorders>
            <w:shd w:val="clear" w:color="auto" w:fill="auto"/>
            <w:noWrap/>
            <w:vAlign w:val="bottom"/>
            <w:hideMark/>
          </w:tcPr>
          <w:p w14:paraId="4E401998"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100</w:t>
            </w:r>
          </w:p>
        </w:tc>
      </w:tr>
      <w:tr w:rsidR="007D4A4D" w:rsidRPr="00F82ADB" w14:paraId="123A9E4B" w14:textId="77777777" w:rsidTr="008532BB">
        <w:trPr>
          <w:trHeight w:val="300"/>
        </w:trPr>
        <w:tc>
          <w:tcPr>
            <w:tcW w:w="2694" w:type="dxa"/>
            <w:tcBorders>
              <w:top w:val="nil"/>
              <w:left w:val="nil"/>
              <w:bottom w:val="nil"/>
              <w:right w:val="nil"/>
            </w:tcBorders>
            <w:shd w:val="clear" w:color="auto" w:fill="auto"/>
            <w:noWrap/>
            <w:vAlign w:val="center"/>
            <w:hideMark/>
          </w:tcPr>
          <w:p w14:paraId="2DFF28F9"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Hospitals</w:t>
            </w:r>
          </w:p>
        </w:tc>
        <w:tc>
          <w:tcPr>
            <w:tcW w:w="1976" w:type="dxa"/>
            <w:tcBorders>
              <w:top w:val="nil"/>
              <w:left w:val="nil"/>
              <w:bottom w:val="nil"/>
              <w:right w:val="nil"/>
            </w:tcBorders>
            <w:shd w:val="clear" w:color="auto" w:fill="auto"/>
            <w:noWrap/>
            <w:vAlign w:val="bottom"/>
            <w:hideMark/>
          </w:tcPr>
          <w:p w14:paraId="30D39766" w14:textId="77777777" w:rsidR="007D4A4D" w:rsidRPr="00F82ADB" w:rsidRDefault="007D4A4D" w:rsidP="008532BB">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4063EDB6" w14:textId="77777777" w:rsidR="007D4A4D" w:rsidRPr="00F82ADB" w:rsidRDefault="007D4A4D" w:rsidP="008532BB">
            <w:pPr>
              <w:spacing w:after="0" w:line="240" w:lineRule="auto"/>
              <w:rPr>
                <w:rFonts w:ascii="Times New Roman" w:eastAsia="Times New Roman" w:hAnsi="Times New Roman" w:cs="Times New Roman"/>
                <w:sz w:val="20"/>
                <w:szCs w:val="20"/>
                <w:lang w:eastAsia="en-GB"/>
              </w:rPr>
            </w:pPr>
          </w:p>
        </w:tc>
        <w:tc>
          <w:tcPr>
            <w:tcW w:w="1850" w:type="dxa"/>
            <w:tcBorders>
              <w:top w:val="nil"/>
              <w:left w:val="nil"/>
              <w:bottom w:val="nil"/>
              <w:right w:val="nil"/>
            </w:tcBorders>
            <w:shd w:val="clear" w:color="auto" w:fill="auto"/>
            <w:noWrap/>
            <w:vAlign w:val="bottom"/>
            <w:hideMark/>
          </w:tcPr>
          <w:p w14:paraId="54A327CC"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100</w:t>
            </w:r>
          </w:p>
        </w:tc>
      </w:tr>
      <w:tr w:rsidR="007D4A4D" w:rsidRPr="00F82ADB" w14:paraId="360D0E90" w14:textId="77777777" w:rsidTr="008532BB">
        <w:trPr>
          <w:trHeight w:val="300"/>
        </w:trPr>
        <w:tc>
          <w:tcPr>
            <w:tcW w:w="2694" w:type="dxa"/>
            <w:tcBorders>
              <w:top w:val="nil"/>
              <w:left w:val="nil"/>
              <w:bottom w:val="nil"/>
              <w:right w:val="nil"/>
            </w:tcBorders>
            <w:shd w:val="clear" w:color="auto" w:fill="auto"/>
            <w:noWrap/>
            <w:vAlign w:val="center"/>
            <w:hideMark/>
          </w:tcPr>
          <w:p w14:paraId="6DD76D46"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Homeless hostels</w:t>
            </w:r>
          </w:p>
        </w:tc>
        <w:tc>
          <w:tcPr>
            <w:tcW w:w="1976" w:type="dxa"/>
            <w:tcBorders>
              <w:top w:val="nil"/>
              <w:left w:val="nil"/>
              <w:bottom w:val="nil"/>
              <w:right w:val="nil"/>
            </w:tcBorders>
            <w:shd w:val="clear" w:color="auto" w:fill="auto"/>
            <w:noWrap/>
            <w:vAlign w:val="bottom"/>
            <w:hideMark/>
          </w:tcPr>
          <w:p w14:paraId="7C8801F3" w14:textId="77777777" w:rsidR="007D4A4D" w:rsidRPr="00F82ADB" w:rsidRDefault="007D4A4D" w:rsidP="008532BB">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08BFBA4C"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40</w:t>
            </w:r>
          </w:p>
        </w:tc>
        <w:tc>
          <w:tcPr>
            <w:tcW w:w="1850" w:type="dxa"/>
            <w:tcBorders>
              <w:top w:val="nil"/>
              <w:left w:val="nil"/>
              <w:bottom w:val="nil"/>
              <w:right w:val="nil"/>
            </w:tcBorders>
            <w:shd w:val="clear" w:color="auto" w:fill="auto"/>
            <w:noWrap/>
            <w:vAlign w:val="bottom"/>
            <w:hideMark/>
          </w:tcPr>
          <w:p w14:paraId="3E5AA231"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60</w:t>
            </w:r>
          </w:p>
        </w:tc>
      </w:tr>
      <w:tr w:rsidR="007D4A4D" w:rsidRPr="00F82ADB" w14:paraId="11085D30" w14:textId="77777777" w:rsidTr="008532BB">
        <w:trPr>
          <w:trHeight w:val="300"/>
        </w:trPr>
        <w:tc>
          <w:tcPr>
            <w:tcW w:w="2694" w:type="dxa"/>
            <w:tcBorders>
              <w:top w:val="nil"/>
              <w:left w:val="nil"/>
              <w:bottom w:val="nil"/>
              <w:right w:val="nil"/>
            </w:tcBorders>
            <w:shd w:val="clear" w:color="auto" w:fill="auto"/>
            <w:noWrap/>
            <w:vAlign w:val="center"/>
            <w:hideMark/>
          </w:tcPr>
          <w:p w14:paraId="2DF47F35"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Other Ed. Establishments</w:t>
            </w:r>
          </w:p>
        </w:tc>
        <w:tc>
          <w:tcPr>
            <w:tcW w:w="1976" w:type="dxa"/>
            <w:tcBorders>
              <w:top w:val="nil"/>
              <w:left w:val="nil"/>
              <w:bottom w:val="nil"/>
              <w:right w:val="nil"/>
            </w:tcBorders>
            <w:shd w:val="clear" w:color="auto" w:fill="auto"/>
            <w:noWrap/>
            <w:vAlign w:val="bottom"/>
            <w:hideMark/>
          </w:tcPr>
          <w:p w14:paraId="17C0E661" w14:textId="77777777" w:rsidR="007D4A4D" w:rsidRPr="00F82ADB" w:rsidRDefault="007D4A4D" w:rsidP="008532BB">
            <w:pPr>
              <w:spacing w:after="0" w:line="240" w:lineRule="auto"/>
              <w:rPr>
                <w:rFonts w:ascii="Calibri" w:eastAsia="Times New Roman" w:hAnsi="Calibri" w:cs="Calibri"/>
                <w:color w:val="000000"/>
                <w:lang w:eastAsia="en-GB"/>
              </w:rPr>
            </w:pPr>
          </w:p>
        </w:tc>
        <w:tc>
          <w:tcPr>
            <w:tcW w:w="2127" w:type="dxa"/>
            <w:tcBorders>
              <w:top w:val="nil"/>
              <w:left w:val="nil"/>
              <w:bottom w:val="nil"/>
              <w:right w:val="nil"/>
            </w:tcBorders>
            <w:shd w:val="clear" w:color="auto" w:fill="auto"/>
            <w:noWrap/>
            <w:vAlign w:val="bottom"/>
            <w:hideMark/>
          </w:tcPr>
          <w:p w14:paraId="5E52CDB6" w14:textId="77777777" w:rsidR="007D4A4D" w:rsidRPr="00F82ADB" w:rsidRDefault="007D4A4D" w:rsidP="008532BB">
            <w:pPr>
              <w:spacing w:after="0" w:line="240" w:lineRule="auto"/>
              <w:rPr>
                <w:rFonts w:ascii="Times New Roman" w:eastAsia="Times New Roman" w:hAnsi="Times New Roman" w:cs="Times New Roman"/>
                <w:sz w:val="20"/>
                <w:szCs w:val="20"/>
                <w:lang w:eastAsia="en-GB"/>
              </w:rPr>
            </w:pPr>
          </w:p>
        </w:tc>
        <w:tc>
          <w:tcPr>
            <w:tcW w:w="1850" w:type="dxa"/>
            <w:tcBorders>
              <w:top w:val="nil"/>
              <w:left w:val="nil"/>
              <w:bottom w:val="nil"/>
              <w:right w:val="nil"/>
            </w:tcBorders>
            <w:shd w:val="clear" w:color="auto" w:fill="auto"/>
            <w:noWrap/>
            <w:vAlign w:val="bottom"/>
            <w:hideMark/>
          </w:tcPr>
          <w:p w14:paraId="29AA9AFB"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100</w:t>
            </w:r>
          </w:p>
        </w:tc>
      </w:tr>
      <w:tr w:rsidR="007D4A4D" w:rsidRPr="00F82ADB" w14:paraId="083C4C58" w14:textId="77777777" w:rsidTr="008532BB">
        <w:trPr>
          <w:trHeight w:val="300"/>
        </w:trPr>
        <w:tc>
          <w:tcPr>
            <w:tcW w:w="2694" w:type="dxa"/>
            <w:tcBorders>
              <w:top w:val="nil"/>
              <w:left w:val="nil"/>
              <w:bottom w:val="nil"/>
              <w:right w:val="nil"/>
            </w:tcBorders>
            <w:shd w:val="clear" w:color="auto" w:fill="auto"/>
            <w:noWrap/>
            <w:vAlign w:val="center"/>
            <w:hideMark/>
          </w:tcPr>
          <w:p w14:paraId="08EBB14A"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Prison</w:t>
            </w:r>
          </w:p>
        </w:tc>
        <w:tc>
          <w:tcPr>
            <w:tcW w:w="1976" w:type="dxa"/>
            <w:tcBorders>
              <w:top w:val="nil"/>
              <w:left w:val="nil"/>
              <w:bottom w:val="nil"/>
              <w:right w:val="nil"/>
            </w:tcBorders>
            <w:shd w:val="clear" w:color="auto" w:fill="auto"/>
            <w:noWrap/>
            <w:vAlign w:val="bottom"/>
            <w:hideMark/>
          </w:tcPr>
          <w:p w14:paraId="54FD15DC"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66</w:t>
            </w:r>
          </w:p>
        </w:tc>
        <w:tc>
          <w:tcPr>
            <w:tcW w:w="2127" w:type="dxa"/>
            <w:tcBorders>
              <w:top w:val="nil"/>
              <w:left w:val="nil"/>
              <w:bottom w:val="nil"/>
              <w:right w:val="nil"/>
            </w:tcBorders>
            <w:shd w:val="clear" w:color="auto" w:fill="auto"/>
            <w:noWrap/>
            <w:vAlign w:val="bottom"/>
            <w:hideMark/>
          </w:tcPr>
          <w:p w14:paraId="0C3C78AF"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4</w:t>
            </w:r>
          </w:p>
        </w:tc>
        <w:tc>
          <w:tcPr>
            <w:tcW w:w="1850" w:type="dxa"/>
            <w:tcBorders>
              <w:top w:val="nil"/>
              <w:left w:val="nil"/>
              <w:bottom w:val="nil"/>
              <w:right w:val="nil"/>
            </w:tcBorders>
            <w:shd w:val="clear" w:color="auto" w:fill="auto"/>
            <w:noWrap/>
            <w:vAlign w:val="bottom"/>
            <w:hideMark/>
          </w:tcPr>
          <w:p w14:paraId="06EE8A4C"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24</w:t>
            </w:r>
          </w:p>
        </w:tc>
      </w:tr>
      <w:tr w:rsidR="007D4A4D" w:rsidRPr="00F82ADB" w14:paraId="48A90146" w14:textId="77777777" w:rsidTr="008532BB">
        <w:trPr>
          <w:trHeight w:val="300"/>
        </w:trPr>
        <w:tc>
          <w:tcPr>
            <w:tcW w:w="2694" w:type="dxa"/>
            <w:tcBorders>
              <w:top w:val="nil"/>
              <w:left w:val="nil"/>
              <w:bottom w:val="nil"/>
              <w:right w:val="nil"/>
            </w:tcBorders>
            <w:shd w:val="clear" w:color="auto" w:fill="auto"/>
            <w:noWrap/>
            <w:vAlign w:val="center"/>
            <w:hideMark/>
          </w:tcPr>
          <w:p w14:paraId="0C49916E"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Residential/nursing home</w:t>
            </w:r>
          </w:p>
        </w:tc>
        <w:tc>
          <w:tcPr>
            <w:tcW w:w="1976" w:type="dxa"/>
            <w:tcBorders>
              <w:top w:val="nil"/>
              <w:left w:val="nil"/>
              <w:bottom w:val="nil"/>
              <w:right w:val="nil"/>
            </w:tcBorders>
            <w:shd w:val="clear" w:color="auto" w:fill="auto"/>
            <w:noWrap/>
            <w:vAlign w:val="bottom"/>
            <w:hideMark/>
          </w:tcPr>
          <w:p w14:paraId="7D5CEB0B"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22</w:t>
            </w:r>
          </w:p>
        </w:tc>
        <w:tc>
          <w:tcPr>
            <w:tcW w:w="2127" w:type="dxa"/>
            <w:tcBorders>
              <w:top w:val="nil"/>
              <w:left w:val="nil"/>
              <w:bottom w:val="nil"/>
              <w:right w:val="nil"/>
            </w:tcBorders>
            <w:shd w:val="clear" w:color="auto" w:fill="auto"/>
            <w:noWrap/>
            <w:vAlign w:val="bottom"/>
            <w:hideMark/>
          </w:tcPr>
          <w:p w14:paraId="70B20D23"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22</w:t>
            </w:r>
          </w:p>
        </w:tc>
        <w:tc>
          <w:tcPr>
            <w:tcW w:w="1850" w:type="dxa"/>
            <w:tcBorders>
              <w:top w:val="nil"/>
              <w:left w:val="nil"/>
              <w:bottom w:val="nil"/>
              <w:right w:val="nil"/>
            </w:tcBorders>
            <w:shd w:val="clear" w:color="auto" w:fill="auto"/>
            <w:noWrap/>
            <w:vAlign w:val="bottom"/>
            <w:hideMark/>
          </w:tcPr>
          <w:p w14:paraId="79AEF990"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56</w:t>
            </w:r>
          </w:p>
        </w:tc>
      </w:tr>
      <w:tr w:rsidR="007D4A4D" w:rsidRPr="00F82ADB" w14:paraId="2B41ABBE" w14:textId="77777777" w:rsidTr="008532BB">
        <w:trPr>
          <w:trHeight w:val="300"/>
        </w:trPr>
        <w:tc>
          <w:tcPr>
            <w:tcW w:w="2694" w:type="dxa"/>
            <w:tcBorders>
              <w:top w:val="nil"/>
              <w:left w:val="nil"/>
              <w:bottom w:val="nil"/>
              <w:right w:val="nil"/>
            </w:tcBorders>
            <w:shd w:val="clear" w:color="auto" w:fill="auto"/>
            <w:noWrap/>
            <w:vAlign w:val="center"/>
            <w:hideMark/>
          </w:tcPr>
          <w:p w14:paraId="16A2ACEE"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 xml:space="preserve">Armed forces base </w:t>
            </w:r>
            <w:proofErr w:type="spellStart"/>
            <w:r w:rsidRPr="00F82ADB">
              <w:rPr>
                <w:rFonts w:ascii="Calibri" w:eastAsia="Times New Roman" w:hAnsi="Calibri" w:cs="Calibri"/>
                <w:color w:val="000000"/>
                <w:lang w:eastAsia="en-GB"/>
              </w:rPr>
              <w:t>accom</w:t>
            </w:r>
            <w:proofErr w:type="spellEnd"/>
            <w:r w:rsidRPr="00F82ADB">
              <w:rPr>
                <w:rFonts w:ascii="Calibri" w:eastAsia="Times New Roman" w:hAnsi="Calibri" w:cs="Calibri"/>
                <w:color w:val="000000"/>
                <w:lang w:eastAsia="en-GB"/>
              </w:rPr>
              <w:t>.</w:t>
            </w:r>
          </w:p>
        </w:tc>
        <w:tc>
          <w:tcPr>
            <w:tcW w:w="1976" w:type="dxa"/>
            <w:tcBorders>
              <w:top w:val="nil"/>
              <w:left w:val="nil"/>
              <w:bottom w:val="nil"/>
              <w:right w:val="nil"/>
            </w:tcBorders>
            <w:shd w:val="clear" w:color="auto" w:fill="auto"/>
            <w:noWrap/>
            <w:vAlign w:val="bottom"/>
            <w:hideMark/>
          </w:tcPr>
          <w:p w14:paraId="79D0D969"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0</w:t>
            </w:r>
          </w:p>
        </w:tc>
        <w:tc>
          <w:tcPr>
            <w:tcW w:w="2127" w:type="dxa"/>
            <w:tcBorders>
              <w:top w:val="nil"/>
              <w:left w:val="nil"/>
              <w:bottom w:val="nil"/>
              <w:right w:val="nil"/>
            </w:tcBorders>
            <w:shd w:val="clear" w:color="auto" w:fill="auto"/>
            <w:noWrap/>
            <w:vAlign w:val="bottom"/>
            <w:hideMark/>
          </w:tcPr>
          <w:p w14:paraId="5C317EC3"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45</w:t>
            </w:r>
          </w:p>
        </w:tc>
        <w:tc>
          <w:tcPr>
            <w:tcW w:w="1850" w:type="dxa"/>
            <w:tcBorders>
              <w:top w:val="nil"/>
              <w:left w:val="nil"/>
              <w:bottom w:val="nil"/>
              <w:right w:val="nil"/>
            </w:tcBorders>
            <w:shd w:val="clear" w:color="auto" w:fill="auto"/>
            <w:noWrap/>
            <w:vAlign w:val="bottom"/>
            <w:hideMark/>
          </w:tcPr>
          <w:p w14:paraId="71D8F526"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51</w:t>
            </w:r>
          </w:p>
        </w:tc>
      </w:tr>
      <w:tr w:rsidR="007D4A4D" w:rsidRPr="00F82ADB" w14:paraId="74827AAB" w14:textId="77777777" w:rsidTr="008532BB">
        <w:trPr>
          <w:trHeight w:val="300"/>
        </w:trPr>
        <w:tc>
          <w:tcPr>
            <w:tcW w:w="2694" w:type="dxa"/>
            <w:tcBorders>
              <w:top w:val="nil"/>
              <w:left w:val="nil"/>
              <w:bottom w:val="nil"/>
              <w:right w:val="nil"/>
            </w:tcBorders>
            <w:shd w:val="clear" w:color="auto" w:fill="auto"/>
            <w:noWrap/>
            <w:vAlign w:val="center"/>
            <w:hideMark/>
          </w:tcPr>
          <w:p w14:paraId="11665219"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Student Halls</w:t>
            </w:r>
          </w:p>
        </w:tc>
        <w:tc>
          <w:tcPr>
            <w:tcW w:w="1976" w:type="dxa"/>
            <w:tcBorders>
              <w:top w:val="nil"/>
              <w:left w:val="nil"/>
              <w:bottom w:val="nil"/>
              <w:right w:val="nil"/>
            </w:tcBorders>
            <w:shd w:val="clear" w:color="auto" w:fill="auto"/>
            <w:noWrap/>
            <w:vAlign w:val="bottom"/>
            <w:hideMark/>
          </w:tcPr>
          <w:p w14:paraId="1D6833CB"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31</w:t>
            </w:r>
          </w:p>
        </w:tc>
        <w:tc>
          <w:tcPr>
            <w:tcW w:w="2127" w:type="dxa"/>
            <w:tcBorders>
              <w:top w:val="nil"/>
              <w:left w:val="nil"/>
              <w:bottom w:val="nil"/>
              <w:right w:val="nil"/>
            </w:tcBorders>
            <w:shd w:val="clear" w:color="auto" w:fill="auto"/>
            <w:noWrap/>
            <w:vAlign w:val="bottom"/>
            <w:hideMark/>
          </w:tcPr>
          <w:p w14:paraId="4197BAC1"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45</w:t>
            </w:r>
          </w:p>
        </w:tc>
        <w:tc>
          <w:tcPr>
            <w:tcW w:w="1850" w:type="dxa"/>
            <w:tcBorders>
              <w:top w:val="nil"/>
              <w:left w:val="nil"/>
              <w:bottom w:val="nil"/>
              <w:right w:val="nil"/>
            </w:tcBorders>
            <w:shd w:val="clear" w:color="auto" w:fill="auto"/>
            <w:noWrap/>
            <w:vAlign w:val="bottom"/>
            <w:hideMark/>
          </w:tcPr>
          <w:p w14:paraId="74E446F1"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23</w:t>
            </w:r>
          </w:p>
        </w:tc>
      </w:tr>
      <w:tr w:rsidR="007D4A4D" w:rsidRPr="00F82ADB" w14:paraId="25E0A396" w14:textId="77777777" w:rsidTr="008532BB">
        <w:trPr>
          <w:trHeight w:val="315"/>
        </w:trPr>
        <w:tc>
          <w:tcPr>
            <w:tcW w:w="2694" w:type="dxa"/>
            <w:tcBorders>
              <w:top w:val="nil"/>
              <w:left w:val="nil"/>
              <w:bottom w:val="nil"/>
              <w:right w:val="nil"/>
            </w:tcBorders>
            <w:shd w:val="clear" w:color="auto" w:fill="auto"/>
            <w:noWrap/>
            <w:vAlign w:val="center"/>
            <w:hideMark/>
          </w:tcPr>
          <w:p w14:paraId="4CA8DA59" w14:textId="77777777" w:rsidR="007D4A4D" w:rsidRPr="00F82ADB" w:rsidRDefault="007D4A4D" w:rsidP="008532BB">
            <w:pPr>
              <w:spacing w:after="0" w:line="240" w:lineRule="auto"/>
              <w:rPr>
                <w:rFonts w:ascii="Calibri" w:eastAsia="Times New Roman" w:hAnsi="Calibri" w:cs="Calibri"/>
                <w:color w:val="000000"/>
                <w:lang w:eastAsia="en-GB"/>
              </w:rPr>
            </w:pPr>
            <w:r w:rsidRPr="00F82ADB">
              <w:rPr>
                <w:rFonts w:ascii="Calibri" w:eastAsia="Times New Roman" w:hAnsi="Calibri" w:cs="Calibri"/>
                <w:color w:val="000000"/>
                <w:lang w:eastAsia="en-GB"/>
              </w:rPr>
              <w:t>Total</w:t>
            </w:r>
          </w:p>
        </w:tc>
        <w:tc>
          <w:tcPr>
            <w:tcW w:w="1976" w:type="dxa"/>
            <w:tcBorders>
              <w:top w:val="nil"/>
              <w:left w:val="nil"/>
              <w:bottom w:val="nil"/>
              <w:right w:val="nil"/>
            </w:tcBorders>
            <w:shd w:val="clear" w:color="auto" w:fill="auto"/>
            <w:noWrap/>
            <w:vAlign w:val="bottom"/>
            <w:hideMark/>
          </w:tcPr>
          <w:p w14:paraId="04CD554A"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30</w:t>
            </w:r>
          </w:p>
        </w:tc>
        <w:tc>
          <w:tcPr>
            <w:tcW w:w="2127" w:type="dxa"/>
            <w:tcBorders>
              <w:top w:val="nil"/>
              <w:left w:val="nil"/>
              <w:bottom w:val="nil"/>
              <w:right w:val="nil"/>
            </w:tcBorders>
            <w:shd w:val="clear" w:color="auto" w:fill="auto"/>
            <w:noWrap/>
            <w:vAlign w:val="bottom"/>
            <w:hideMark/>
          </w:tcPr>
          <w:p w14:paraId="544D99E6"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36</w:t>
            </w:r>
          </w:p>
        </w:tc>
        <w:tc>
          <w:tcPr>
            <w:tcW w:w="1850" w:type="dxa"/>
            <w:tcBorders>
              <w:top w:val="nil"/>
              <w:left w:val="nil"/>
              <w:bottom w:val="nil"/>
              <w:right w:val="nil"/>
            </w:tcBorders>
            <w:shd w:val="clear" w:color="auto" w:fill="auto"/>
            <w:noWrap/>
            <w:vAlign w:val="bottom"/>
            <w:hideMark/>
          </w:tcPr>
          <w:p w14:paraId="4015F83A" w14:textId="77777777" w:rsidR="007D4A4D" w:rsidRPr="00F82ADB" w:rsidRDefault="007D4A4D" w:rsidP="008532BB">
            <w:pPr>
              <w:spacing w:after="0" w:line="240" w:lineRule="auto"/>
              <w:jc w:val="right"/>
              <w:rPr>
                <w:rFonts w:ascii="Calibri" w:eastAsia="Times New Roman" w:hAnsi="Calibri" w:cs="Calibri"/>
                <w:color w:val="000000"/>
                <w:lang w:eastAsia="en-GB"/>
              </w:rPr>
            </w:pPr>
            <w:r w:rsidRPr="00F82ADB">
              <w:rPr>
                <w:rFonts w:ascii="Calibri" w:eastAsia="Times New Roman" w:hAnsi="Calibri" w:cs="Calibri"/>
                <w:color w:val="000000"/>
                <w:lang w:eastAsia="en-GB"/>
              </w:rPr>
              <w:t>31</w:t>
            </w:r>
          </w:p>
        </w:tc>
      </w:tr>
    </w:tbl>
    <w:p w14:paraId="15C41F92" w14:textId="77777777" w:rsidR="007D4A4D" w:rsidRDefault="007D4A4D">
      <w:pPr>
        <w:rPr>
          <w:rFonts w:ascii="Calibri" w:hAnsi="Calibri" w:cs="Calibri"/>
          <w:lang w:eastAsia="en-GB"/>
        </w:rPr>
      </w:pPr>
    </w:p>
    <w:sectPr w:rsidR="007D4A4D" w:rsidSect="005D3EC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5755" w14:textId="77777777" w:rsidR="008532BB" w:rsidRDefault="008532BB" w:rsidP="00D91559">
      <w:pPr>
        <w:spacing w:after="0" w:line="240" w:lineRule="auto"/>
      </w:pPr>
      <w:r>
        <w:separator/>
      </w:r>
    </w:p>
  </w:endnote>
  <w:endnote w:type="continuationSeparator" w:id="0">
    <w:p w14:paraId="457E5078" w14:textId="77777777" w:rsidR="008532BB" w:rsidRDefault="008532BB" w:rsidP="00D9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53817"/>
      <w:docPartObj>
        <w:docPartGallery w:val="Page Numbers (Bottom of Page)"/>
        <w:docPartUnique/>
      </w:docPartObj>
    </w:sdtPr>
    <w:sdtEndPr>
      <w:rPr>
        <w:noProof/>
      </w:rPr>
    </w:sdtEndPr>
    <w:sdtContent>
      <w:p w14:paraId="517CBD10" w14:textId="4B885D8D" w:rsidR="008532BB" w:rsidRDefault="008532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492FB" w14:textId="77777777" w:rsidR="008532BB" w:rsidRDefault="0085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AF51" w14:textId="77777777" w:rsidR="008532BB" w:rsidRDefault="008532BB" w:rsidP="00D91559">
      <w:pPr>
        <w:spacing w:after="0" w:line="240" w:lineRule="auto"/>
      </w:pPr>
      <w:r>
        <w:separator/>
      </w:r>
    </w:p>
  </w:footnote>
  <w:footnote w:type="continuationSeparator" w:id="0">
    <w:p w14:paraId="266E56F5" w14:textId="77777777" w:rsidR="008532BB" w:rsidRDefault="008532BB" w:rsidP="00D91559">
      <w:pPr>
        <w:spacing w:after="0" w:line="240" w:lineRule="auto"/>
      </w:pPr>
      <w:r>
        <w:continuationSeparator/>
      </w:r>
    </w:p>
  </w:footnote>
  <w:footnote w:id="1">
    <w:p w14:paraId="1D3B84BF" w14:textId="4E6A41A0" w:rsidR="008532BB" w:rsidRDefault="008532BB">
      <w:pPr>
        <w:pStyle w:val="FootnoteText"/>
      </w:pPr>
      <w:r>
        <w:rPr>
          <w:rStyle w:val="FootnoteReference"/>
        </w:rPr>
        <w:footnoteRef/>
      </w:r>
      <w:r>
        <w:t xml:space="preserve"> The working files we have access to don’t quite match the published documentation (ONS, 2012) on the number of establishments available, assessed and adjusted for. We are investigating this.</w:t>
      </w:r>
    </w:p>
  </w:footnote>
  <w:footnote w:id="2">
    <w:p w14:paraId="716FEA60" w14:textId="467F4FF7" w:rsidR="008532BB" w:rsidRDefault="008532BB">
      <w:pPr>
        <w:pStyle w:val="FootnoteText"/>
      </w:pPr>
      <w:r>
        <w:rPr>
          <w:rStyle w:val="FootnoteReference"/>
        </w:rPr>
        <w:footnoteRef/>
      </w:r>
      <w:r>
        <w:t xml:space="preserve"> Assessment of coverage in homeless hostels is being pursued as a different work stream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B4"/>
    <w:multiLevelType w:val="hybridMultilevel"/>
    <w:tmpl w:val="9C4C7B66"/>
    <w:lvl w:ilvl="0" w:tplc="10FCFE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CFD"/>
    <w:multiLevelType w:val="hybridMultilevel"/>
    <w:tmpl w:val="B92E882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74175"/>
    <w:multiLevelType w:val="multilevel"/>
    <w:tmpl w:val="D03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D3F77"/>
    <w:multiLevelType w:val="hybridMultilevel"/>
    <w:tmpl w:val="D8CA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81530"/>
    <w:multiLevelType w:val="hybridMultilevel"/>
    <w:tmpl w:val="3D22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61895"/>
    <w:multiLevelType w:val="hybridMultilevel"/>
    <w:tmpl w:val="A696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208AA"/>
    <w:multiLevelType w:val="hybridMultilevel"/>
    <w:tmpl w:val="56320D60"/>
    <w:lvl w:ilvl="0" w:tplc="9DBCCB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9A31E6"/>
    <w:multiLevelType w:val="hybridMultilevel"/>
    <w:tmpl w:val="807C8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D47DA3"/>
    <w:multiLevelType w:val="hybridMultilevel"/>
    <w:tmpl w:val="F2F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A733B"/>
    <w:multiLevelType w:val="multilevel"/>
    <w:tmpl w:val="F71E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8"/>
  </w:num>
  <w:num w:numId="5">
    <w:abstractNumId w:val="1"/>
  </w:num>
  <w:num w:numId="6">
    <w:abstractNumId w:val="5"/>
  </w:num>
  <w:num w:numId="7">
    <w:abstractNumId w:val="7"/>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70"/>
    <w:rsid w:val="000106F9"/>
    <w:rsid w:val="00013F0C"/>
    <w:rsid w:val="0003017D"/>
    <w:rsid w:val="00033F8D"/>
    <w:rsid w:val="0007472C"/>
    <w:rsid w:val="000C4D2E"/>
    <w:rsid w:val="001038B8"/>
    <w:rsid w:val="00106F95"/>
    <w:rsid w:val="001108D5"/>
    <w:rsid w:val="00146AE4"/>
    <w:rsid w:val="001E6B26"/>
    <w:rsid w:val="001F7D05"/>
    <w:rsid w:val="002723D9"/>
    <w:rsid w:val="002B1876"/>
    <w:rsid w:val="002B5D1E"/>
    <w:rsid w:val="00306C37"/>
    <w:rsid w:val="00317FC6"/>
    <w:rsid w:val="00350E10"/>
    <w:rsid w:val="003A7ACD"/>
    <w:rsid w:val="003D3659"/>
    <w:rsid w:val="004B5A3C"/>
    <w:rsid w:val="004C6905"/>
    <w:rsid w:val="004D7CB3"/>
    <w:rsid w:val="005262E1"/>
    <w:rsid w:val="005C0591"/>
    <w:rsid w:val="005D3ECB"/>
    <w:rsid w:val="005F6752"/>
    <w:rsid w:val="006735EB"/>
    <w:rsid w:val="00674C92"/>
    <w:rsid w:val="006A1452"/>
    <w:rsid w:val="006C5C67"/>
    <w:rsid w:val="006C7B25"/>
    <w:rsid w:val="006D27EF"/>
    <w:rsid w:val="006D4405"/>
    <w:rsid w:val="00703B58"/>
    <w:rsid w:val="00724F05"/>
    <w:rsid w:val="00727059"/>
    <w:rsid w:val="007473D7"/>
    <w:rsid w:val="00772E8D"/>
    <w:rsid w:val="007909A4"/>
    <w:rsid w:val="007D4A4D"/>
    <w:rsid w:val="007F469C"/>
    <w:rsid w:val="008129D2"/>
    <w:rsid w:val="008139FE"/>
    <w:rsid w:val="008171C1"/>
    <w:rsid w:val="0082084C"/>
    <w:rsid w:val="008347AD"/>
    <w:rsid w:val="008532BB"/>
    <w:rsid w:val="008F71B4"/>
    <w:rsid w:val="00901EB7"/>
    <w:rsid w:val="0090555D"/>
    <w:rsid w:val="00915F39"/>
    <w:rsid w:val="00973F46"/>
    <w:rsid w:val="009A0939"/>
    <w:rsid w:val="009C2B0B"/>
    <w:rsid w:val="009C625D"/>
    <w:rsid w:val="00A653E7"/>
    <w:rsid w:val="00AA110F"/>
    <w:rsid w:val="00AA3A32"/>
    <w:rsid w:val="00AD7FCC"/>
    <w:rsid w:val="00B3111D"/>
    <w:rsid w:val="00BB7D6C"/>
    <w:rsid w:val="00C33DF0"/>
    <w:rsid w:val="00C37EE2"/>
    <w:rsid w:val="00C45349"/>
    <w:rsid w:val="00C557F2"/>
    <w:rsid w:val="00C60152"/>
    <w:rsid w:val="00CB17F0"/>
    <w:rsid w:val="00D00703"/>
    <w:rsid w:val="00D65985"/>
    <w:rsid w:val="00D91559"/>
    <w:rsid w:val="00DE3BE4"/>
    <w:rsid w:val="00E16E2F"/>
    <w:rsid w:val="00E7296E"/>
    <w:rsid w:val="00E969EE"/>
    <w:rsid w:val="00ED4B31"/>
    <w:rsid w:val="00EF3CB4"/>
    <w:rsid w:val="00F60670"/>
    <w:rsid w:val="00F82ADB"/>
    <w:rsid w:val="00FC6850"/>
    <w:rsid w:val="00FF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2C7F"/>
  <w15:chartTrackingRefBased/>
  <w15:docId w15:val="{219E38B7-8805-48AF-A5DC-387CD419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670"/>
    <w:pPr>
      <w:ind w:left="720"/>
      <w:contextualSpacing/>
    </w:pPr>
  </w:style>
  <w:style w:type="character" w:styleId="Hyperlink">
    <w:name w:val="Hyperlink"/>
    <w:basedOn w:val="DefaultParagraphFont"/>
    <w:uiPriority w:val="99"/>
    <w:unhideWhenUsed/>
    <w:rsid w:val="006D4405"/>
    <w:rPr>
      <w:color w:val="0563C1"/>
      <w:u w:val="single"/>
    </w:rPr>
  </w:style>
  <w:style w:type="paragraph" w:styleId="BalloonText">
    <w:name w:val="Balloon Text"/>
    <w:basedOn w:val="Normal"/>
    <w:link w:val="BalloonTextChar"/>
    <w:uiPriority w:val="99"/>
    <w:semiHidden/>
    <w:unhideWhenUsed/>
    <w:rsid w:val="004B5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3C"/>
    <w:rPr>
      <w:rFonts w:ascii="Segoe UI" w:hAnsi="Segoe UI" w:cs="Segoe UI"/>
      <w:sz w:val="18"/>
      <w:szCs w:val="18"/>
    </w:rPr>
  </w:style>
  <w:style w:type="table" w:styleId="TableGrid">
    <w:name w:val="Table Grid"/>
    <w:basedOn w:val="TableNormal"/>
    <w:uiPriority w:val="59"/>
    <w:rsid w:val="006D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7EF"/>
    <w:rPr>
      <w:sz w:val="16"/>
      <w:szCs w:val="16"/>
    </w:rPr>
  </w:style>
  <w:style w:type="paragraph" w:styleId="CommentText">
    <w:name w:val="annotation text"/>
    <w:basedOn w:val="Normal"/>
    <w:link w:val="CommentTextChar"/>
    <w:uiPriority w:val="99"/>
    <w:semiHidden/>
    <w:unhideWhenUsed/>
    <w:rsid w:val="006D27E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D27EF"/>
    <w:rPr>
      <w:sz w:val="20"/>
      <w:szCs w:val="20"/>
    </w:rPr>
  </w:style>
  <w:style w:type="paragraph" w:styleId="Header">
    <w:name w:val="header"/>
    <w:basedOn w:val="Normal"/>
    <w:link w:val="HeaderChar"/>
    <w:uiPriority w:val="99"/>
    <w:unhideWhenUsed/>
    <w:rsid w:val="00D9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59"/>
  </w:style>
  <w:style w:type="paragraph" w:styleId="Footer">
    <w:name w:val="footer"/>
    <w:basedOn w:val="Normal"/>
    <w:link w:val="FooterChar"/>
    <w:uiPriority w:val="99"/>
    <w:unhideWhenUsed/>
    <w:rsid w:val="00D91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59"/>
  </w:style>
  <w:style w:type="paragraph" w:customStyle="1" w:styleId="null">
    <w:name w:val="null"/>
    <w:basedOn w:val="Normal"/>
    <w:rsid w:val="008347AD"/>
    <w:pPr>
      <w:spacing w:before="100" w:beforeAutospacing="1" w:after="100" w:afterAutospacing="1" w:line="240" w:lineRule="auto"/>
    </w:pPr>
    <w:rPr>
      <w:rFonts w:ascii="Calibri" w:hAnsi="Calibri" w:cs="Calibri"/>
      <w:lang w:eastAsia="en-GB"/>
    </w:rPr>
  </w:style>
  <w:style w:type="character" w:customStyle="1" w:styleId="null1">
    <w:name w:val="null1"/>
    <w:basedOn w:val="DefaultParagraphFont"/>
    <w:rsid w:val="00306C37"/>
  </w:style>
  <w:style w:type="paragraph" w:styleId="FootnoteText">
    <w:name w:val="footnote text"/>
    <w:basedOn w:val="Normal"/>
    <w:link w:val="FootnoteTextChar"/>
    <w:uiPriority w:val="99"/>
    <w:semiHidden/>
    <w:rsid w:val="00772E8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772E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B1876"/>
    <w:rPr>
      <w:vertAlign w:val="superscript"/>
    </w:rPr>
  </w:style>
  <w:style w:type="character" w:customStyle="1" w:styleId="Heading1Char">
    <w:name w:val="Heading 1 Char"/>
    <w:basedOn w:val="DefaultParagraphFont"/>
    <w:link w:val="Heading1"/>
    <w:uiPriority w:val="9"/>
    <w:rsid w:val="00ED4B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4B31"/>
    <w:pPr>
      <w:outlineLvl w:val="9"/>
    </w:pPr>
    <w:rPr>
      <w:lang w:val="en-US"/>
    </w:rPr>
  </w:style>
  <w:style w:type="paragraph" w:styleId="TOC2">
    <w:name w:val="toc 2"/>
    <w:basedOn w:val="Normal"/>
    <w:next w:val="Normal"/>
    <w:autoRedefine/>
    <w:uiPriority w:val="39"/>
    <w:unhideWhenUsed/>
    <w:rsid w:val="00ED4B3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D4B31"/>
    <w:pPr>
      <w:spacing w:after="100"/>
    </w:pPr>
    <w:rPr>
      <w:rFonts w:eastAsiaTheme="minorEastAsia" w:cs="Times New Roman"/>
      <w:lang w:val="en-US"/>
    </w:rPr>
  </w:style>
  <w:style w:type="paragraph" w:styleId="TOC3">
    <w:name w:val="toc 3"/>
    <w:basedOn w:val="Normal"/>
    <w:next w:val="Normal"/>
    <w:autoRedefine/>
    <w:uiPriority w:val="39"/>
    <w:unhideWhenUsed/>
    <w:rsid w:val="00ED4B31"/>
    <w:pPr>
      <w:spacing w:after="100"/>
      <w:ind w:left="440"/>
    </w:pPr>
    <w:rPr>
      <w:rFonts w:eastAsiaTheme="minorEastAsia" w:cs="Times New Roman"/>
      <w:lang w:val="en-US"/>
    </w:rPr>
  </w:style>
  <w:style w:type="paragraph" w:customStyle="1" w:styleId="paragraph">
    <w:name w:val="paragraph"/>
    <w:basedOn w:val="Normal"/>
    <w:rsid w:val="008532BB"/>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8532BB"/>
  </w:style>
  <w:style w:type="character" w:customStyle="1" w:styleId="eop">
    <w:name w:val="eop"/>
    <w:basedOn w:val="DefaultParagraphFont"/>
    <w:rsid w:val="008532BB"/>
  </w:style>
  <w:style w:type="character" w:styleId="FollowedHyperlink">
    <w:name w:val="FollowedHyperlink"/>
    <w:basedOn w:val="DefaultParagraphFont"/>
    <w:uiPriority w:val="99"/>
    <w:semiHidden/>
    <w:unhideWhenUsed/>
    <w:rsid w:val="00D00703"/>
    <w:rPr>
      <w:color w:val="954F72" w:themeColor="followedHyperlink"/>
      <w:u w:val="single"/>
    </w:rPr>
  </w:style>
  <w:style w:type="character" w:styleId="UnresolvedMention">
    <w:name w:val="Unresolved Mention"/>
    <w:basedOn w:val="DefaultParagraphFont"/>
    <w:uiPriority w:val="99"/>
    <w:semiHidden/>
    <w:unhideWhenUsed/>
    <w:rsid w:val="0081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8150">
      <w:bodyDiv w:val="1"/>
      <w:marLeft w:val="0"/>
      <w:marRight w:val="0"/>
      <w:marTop w:val="0"/>
      <w:marBottom w:val="0"/>
      <w:divBdr>
        <w:top w:val="none" w:sz="0" w:space="0" w:color="auto"/>
        <w:left w:val="none" w:sz="0" w:space="0" w:color="auto"/>
        <w:bottom w:val="none" w:sz="0" w:space="0" w:color="auto"/>
        <w:right w:val="none" w:sz="0" w:space="0" w:color="auto"/>
      </w:divBdr>
    </w:div>
    <w:div w:id="67502472">
      <w:bodyDiv w:val="1"/>
      <w:marLeft w:val="0"/>
      <w:marRight w:val="0"/>
      <w:marTop w:val="0"/>
      <w:marBottom w:val="0"/>
      <w:divBdr>
        <w:top w:val="none" w:sz="0" w:space="0" w:color="auto"/>
        <w:left w:val="none" w:sz="0" w:space="0" w:color="auto"/>
        <w:bottom w:val="none" w:sz="0" w:space="0" w:color="auto"/>
        <w:right w:val="none" w:sz="0" w:space="0" w:color="auto"/>
      </w:divBdr>
    </w:div>
    <w:div w:id="551845144">
      <w:bodyDiv w:val="1"/>
      <w:marLeft w:val="0"/>
      <w:marRight w:val="0"/>
      <w:marTop w:val="0"/>
      <w:marBottom w:val="0"/>
      <w:divBdr>
        <w:top w:val="none" w:sz="0" w:space="0" w:color="auto"/>
        <w:left w:val="none" w:sz="0" w:space="0" w:color="auto"/>
        <w:bottom w:val="none" w:sz="0" w:space="0" w:color="auto"/>
        <w:right w:val="none" w:sz="0" w:space="0" w:color="auto"/>
      </w:divBdr>
    </w:div>
    <w:div w:id="564801905">
      <w:bodyDiv w:val="1"/>
      <w:marLeft w:val="0"/>
      <w:marRight w:val="0"/>
      <w:marTop w:val="0"/>
      <w:marBottom w:val="0"/>
      <w:divBdr>
        <w:top w:val="none" w:sz="0" w:space="0" w:color="auto"/>
        <w:left w:val="none" w:sz="0" w:space="0" w:color="auto"/>
        <w:bottom w:val="none" w:sz="0" w:space="0" w:color="auto"/>
        <w:right w:val="none" w:sz="0" w:space="0" w:color="auto"/>
      </w:divBdr>
    </w:div>
    <w:div w:id="580068067">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ebarchive.nationalarchives.gov.uk/20160108085304/http:/www.ons.gov.uk/ons/guide-method/census/2011/census-data/2011-census-data/2011-first-release/first-release--quality-assurance-and-methodology-papers/coverage-within-communal-establishments.pdf"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ONS Document" ma:contentTypeID="0x01010035E33599CC8D1E47A037F474646B1D5800A2DF6EE1F828B64FAA54B0DB0B11674E" ma:contentTypeVersion="111" ma:contentTypeDescription="Create a new document." ma:contentTypeScope="" ma:versionID="bbc70c78b9e77b5aba58f18f88db2c0c">
  <xsd:schema xmlns:xsd="http://www.w3.org/2001/XMLSchema" xmlns:xs="http://www.w3.org/2001/XMLSchema" xmlns:p="http://schemas.microsoft.com/office/2006/metadata/properties" xmlns:ns1="http://schemas.microsoft.com/sharepoint/v3" xmlns:ns3="e14115de-03ae-49b5-af01-31035404c456" xmlns:ns4="11db2dc9-1d1c-45eb-8b5b-ac58ae3319db" xmlns:ns5="a0476314-f03c-430e-9769-a13e77a4dd6f" targetNamespace="http://schemas.microsoft.com/office/2006/metadata/properties" ma:root="true" ma:fieldsID="0c53e24200d90e99002b61a35d1caaf8" ns1:_="" ns3:_="" ns4:_="" ns5:_="">
    <xsd:import namespace="http://schemas.microsoft.com/sharepoint/v3"/>
    <xsd:import namespace="e14115de-03ae-49b5-af01-31035404c456"/>
    <xsd:import namespace="11db2dc9-1d1c-45eb-8b5b-ac58ae3319db"/>
    <xsd:import namespace="a0476314-f03c-430e-9769-a13e77a4dd6f"/>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958ef704-3e70-4a59-9188-fb81b25c3425}" ma:internalName="TaxCatchAll" ma:showField="CatchAllData" ma:web="a0476314-f03c-430e-9769-a13e77a4dd6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58ef704-3e70-4a59-9188-fb81b25c3425}" ma:internalName="TaxCatchAllLabel" ma:readOnly="true" ma:showField="CatchAllDataLabel" ma:web="a0476314-f03c-430e-9769-a13e77a4dd6f">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db2dc9-1d1c-45eb-8b5b-ac58ae3319db"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a0476314-f03c-430e-9769-a13e77a4dd6f"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Programme and Project</TermName>
          <TermId xmlns="http://schemas.microsoft.com/office/infopath/2007/PartnerControls">96356c75-f26d-45f0-a4b1-e809250f704c</TermId>
        </TermInfo>
      </Terms>
    </o5359087ad404c199aee74686ab194d3>
    <RetentionType xmlns="11db2dc9-1d1c-45eb-8b5b-ac58ae3319db">Notify</RetentionType>
    <TaxCatchAll xmlns="e14115de-03ae-49b5-af01-31035404c456">
      <Value>1</Value>
    </TaxCatchAll>
    <RetentionDate xmlns="11db2dc9-1d1c-45eb-8b5b-ac58ae3319db" xsi:nil="true"/>
    <Retention xmlns="11db2dc9-1d1c-45eb-8b5b-ac58ae3319db">0</Retention>
    <TaxKeywordTaxHTField xmlns="e14115de-03ae-49b5-af01-31035404c456">
      <Terms xmlns="http://schemas.microsoft.com/office/infopath/2007/PartnerControls"/>
    </TaxKeywordTaxHTField>
    <EDRMSOwner xmlns="11db2dc9-1d1c-45eb-8b5b-ac58ae3319db" xsi:nil="true"/>
    <_dlc_DocId xmlns="a0476314-f03c-430e-9769-a13e77a4dd6f">Q566TXFWFPHE-1506888646-31710</_dlc_DocId>
    <_dlc_DocIdUrl xmlns="a0476314-f03c-430e-9769-a13e77a4dd6f">
      <Url>https://share.sp.ons.statistics.gov.uk/sites/cen/csod/_layouts/15/DocIdRedir.aspx?ID=Q566TXFWFPHE-1506888646-31710</Url>
      <Description>Q566TXFWFPHE-1506888646-31710</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6DA8-03FF-4D8D-901C-9A34A0A4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11db2dc9-1d1c-45eb-8b5b-ac58ae3319db"/>
    <ds:schemaRef ds:uri="a0476314-f03c-430e-9769-a13e77a4d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59689-5555-42C4-ACF1-BE8F8405C778}">
  <ds:schemaRefs>
    <ds:schemaRef ds:uri="office.server.policy"/>
  </ds:schemaRefs>
</ds:datastoreItem>
</file>

<file path=customXml/itemProps3.xml><?xml version="1.0" encoding="utf-8"?>
<ds:datastoreItem xmlns:ds="http://schemas.openxmlformats.org/officeDocument/2006/customXml" ds:itemID="{326CC619-D342-4B1D-B68A-758681F072C9}">
  <ds:schemaRefs>
    <ds:schemaRef ds:uri="http://schemas.microsoft.com/sharepoint/events"/>
  </ds:schemaRefs>
</ds:datastoreItem>
</file>

<file path=customXml/itemProps4.xml><?xml version="1.0" encoding="utf-8"?>
<ds:datastoreItem xmlns:ds="http://schemas.openxmlformats.org/officeDocument/2006/customXml" ds:itemID="{201972C7-53C5-466C-BD8F-72AD2EEB8397}">
  <ds:schemaRefs>
    <ds:schemaRef ds:uri="http://schemas.microsoft.com/sharepoint/v3/contenttype/forms"/>
  </ds:schemaRefs>
</ds:datastoreItem>
</file>

<file path=customXml/itemProps5.xml><?xml version="1.0" encoding="utf-8"?>
<ds:datastoreItem xmlns:ds="http://schemas.openxmlformats.org/officeDocument/2006/customXml" ds:itemID="{5D8E5933-F5B5-4771-9E2A-1E1D09DBF51D}">
  <ds:schemaRefs>
    <ds:schemaRef ds:uri="Microsoft.SharePoint.Taxonomy.ContentTypeSync"/>
  </ds:schemaRefs>
</ds:datastoreItem>
</file>

<file path=customXml/itemProps6.xml><?xml version="1.0" encoding="utf-8"?>
<ds:datastoreItem xmlns:ds="http://schemas.openxmlformats.org/officeDocument/2006/customXml" ds:itemID="{E6FFD2DC-B6E8-49EB-8785-7A50E9962764}">
  <ds:schemaRefs>
    <ds:schemaRef ds:uri="http://schemas.microsoft.com/office/2006/metadata/customXsn"/>
  </ds:schemaRefs>
</ds:datastoreItem>
</file>

<file path=customXml/itemProps7.xml><?xml version="1.0" encoding="utf-8"?>
<ds:datastoreItem xmlns:ds="http://schemas.openxmlformats.org/officeDocument/2006/customXml" ds:itemID="{462B5B77-199B-4DFB-A6D8-4C5A9ADBB2BF}">
  <ds:schemaRefs>
    <ds:schemaRef ds:uri="http://www.w3.org/XML/1998/namespace"/>
    <ds:schemaRef ds:uri="http://purl.org/dc/elements/1.1/"/>
    <ds:schemaRef ds:uri="http://schemas.microsoft.com/office/2006/metadata/properties"/>
    <ds:schemaRef ds:uri="e14115de-03ae-49b5-af01-31035404c456"/>
    <ds:schemaRef ds:uri="http://purl.org/dc/terms/"/>
    <ds:schemaRef ds:uri="http://schemas.microsoft.com/sharepoint/v3"/>
    <ds:schemaRef ds:uri="11db2dc9-1d1c-45eb-8b5b-ac58ae3319db"/>
    <ds:schemaRef ds:uri="http://schemas.microsoft.com/office/2006/documentManagement/types"/>
    <ds:schemaRef ds:uri="http://schemas.openxmlformats.org/package/2006/metadata/core-properties"/>
    <ds:schemaRef ds:uri="http://schemas.microsoft.com/office/infopath/2007/PartnerControls"/>
    <ds:schemaRef ds:uri="a0476314-f03c-430e-9769-a13e77a4dd6f"/>
    <ds:schemaRef ds:uri="http://purl.org/dc/dcmitype/"/>
  </ds:schemaRefs>
</ds:datastoreItem>
</file>

<file path=customXml/itemProps8.xml><?xml version="1.0" encoding="utf-8"?>
<ds:datastoreItem xmlns:ds="http://schemas.openxmlformats.org/officeDocument/2006/customXml" ds:itemID="{4F17D818-1FDD-4336-9C1C-084B84C9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6148</Words>
  <Characters>32283</Characters>
  <Application>Microsoft Office Word</Application>
  <DocSecurity>4</DocSecurity>
  <Lines>1467</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Ghee, Cal</dc:creator>
  <cp:keywords/>
  <dc:description/>
  <cp:lastModifiedBy>Brown, Joanna</cp:lastModifiedBy>
  <cp:revision>2</cp:revision>
  <dcterms:created xsi:type="dcterms:W3CDTF">2021-01-13T11:29:00Z</dcterms:created>
  <dcterms:modified xsi:type="dcterms:W3CDTF">2021-01-13T11:29:00Z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0x01010035E33599CC8D1E47A037F474646B1D5800A2DF6EE1F828B64FAA54B0DB0B11674E</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499aa50f-7482-4d48-915a-cdaed6ca0212</vt:lpwstr>
  </property>
  <property fmtid="{D5CDD505-2E9C-101B-9397-08002B2CF9AE}" pid="6" name="TaxKeyword">
    <vt:lpwstr/>
  </property>
  <property fmtid="{D5CDD505-2E9C-101B-9397-08002B2CF9AE}" pid="7" name="RecordType">
    <vt:lpwstr>1;#Programme and Project|96356c75-f26d-45f0-a4b1-e809250f704c</vt:lpwstr>
  </property>
</Properties>
</file>