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99F6B" w14:textId="77777777" w:rsidR="00E47AA0" w:rsidRPr="00C0562C" w:rsidRDefault="008C1DCD" w:rsidP="00E47AA0">
      <w:pPr>
        <w:spacing w:after="0" w:line="240" w:lineRule="auto"/>
        <w:jc w:val="center"/>
        <w:rPr>
          <w:rFonts w:ascii="Arial" w:hAnsi="Arial" w:cs="Arial"/>
          <w:b/>
          <w:color w:val="365F91" w:themeColor="accent1" w:themeShade="BF"/>
          <w:sz w:val="20"/>
          <w:szCs w:val="20"/>
        </w:rPr>
      </w:pPr>
      <w:bookmarkStart w:id="0" w:name="_Hlk5018462"/>
      <w:bookmarkEnd w:id="0"/>
      <w:r>
        <w:rPr>
          <w:rFonts w:ascii="Arial" w:hAnsi="Arial" w:cs="Arial"/>
          <w:b/>
          <w:color w:val="365F91" w:themeColor="accent1" w:themeShade="BF"/>
          <w:sz w:val="20"/>
          <w:szCs w:val="20"/>
        </w:rPr>
        <w:t>Hard</w:t>
      </w:r>
      <w:r w:rsidR="00E47AA0" w:rsidRPr="00C0562C">
        <w:rPr>
          <w:rFonts w:ascii="Arial" w:hAnsi="Arial" w:cs="Arial"/>
          <w:b/>
          <w:color w:val="365F91" w:themeColor="accent1" w:themeShade="BF"/>
          <w:sz w:val="20"/>
          <w:szCs w:val="20"/>
        </w:rPr>
        <w:t xml:space="preserve"> to Count index for the 2021 Census</w:t>
      </w:r>
    </w:p>
    <w:p w14:paraId="04A5B4B3" w14:textId="77777777" w:rsidR="00E47AA0" w:rsidRPr="00C0562C" w:rsidRDefault="00E47AA0" w:rsidP="00E47AA0">
      <w:pPr>
        <w:spacing w:after="0" w:line="240" w:lineRule="auto"/>
        <w:jc w:val="center"/>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 xml:space="preserve">Update </w:t>
      </w:r>
      <w:r w:rsidR="000F5253" w:rsidRPr="00C0562C">
        <w:rPr>
          <w:rFonts w:ascii="Arial" w:hAnsi="Arial" w:cs="Arial"/>
          <w:b/>
          <w:color w:val="365F91" w:themeColor="accent1" w:themeShade="BF"/>
          <w:sz w:val="20"/>
          <w:szCs w:val="20"/>
        </w:rPr>
        <w:t>for</w:t>
      </w:r>
      <w:r w:rsidRPr="00C0562C">
        <w:rPr>
          <w:rFonts w:ascii="Arial" w:hAnsi="Arial" w:cs="Arial"/>
          <w:b/>
          <w:color w:val="365F91" w:themeColor="accent1" w:themeShade="BF"/>
          <w:sz w:val="20"/>
          <w:szCs w:val="20"/>
        </w:rPr>
        <w:t xml:space="preserve"> the External Assurance Panel  </w:t>
      </w:r>
    </w:p>
    <w:p w14:paraId="6411EEFF" w14:textId="77777777" w:rsidR="00E47AA0" w:rsidRPr="00C0562C" w:rsidRDefault="00E47AA0" w:rsidP="00E47AA0">
      <w:pPr>
        <w:spacing w:after="0" w:line="240" w:lineRule="auto"/>
        <w:jc w:val="both"/>
        <w:rPr>
          <w:rFonts w:ascii="Arial" w:hAnsi="Arial" w:cs="Arial"/>
          <w:color w:val="548DD4" w:themeColor="text2" w:themeTint="99"/>
          <w:sz w:val="20"/>
          <w:szCs w:val="20"/>
        </w:rPr>
      </w:pPr>
      <w:r w:rsidRPr="00C0562C">
        <w:rPr>
          <w:rFonts w:ascii="Arial" w:hAnsi="Arial" w:cs="Arial"/>
          <w:color w:val="548DD4" w:themeColor="text2" w:themeTint="99"/>
          <w:sz w:val="20"/>
          <w:szCs w:val="20"/>
        </w:rPr>
        <w:softHyphen/>
      </w:r>
      <w:r w:rsidRPr="00C0562C">
        <w:rPr>
          <w:rFonts w:ascii="Arial" w:hAnsi="Arial" w:cs="Arial"/>
          <w:color w:val="548DD4" w:themeColor="text2" w:themeTint="99"/>
          <w:sz w:val="20"/>
          <w:szCs w:val="20"/>
        </w:rPr>
        <w:softHyphen/>
      </w:r>
      <w:r w:rsidRPr="00C0562C">
        <w:rPr>
          <w:rFonts w:ascii="Arial" w:hAnsi="Arial" w:cs="Arial"/>
          <w:color w:val="548DD4" w:themeColor="text2" w:themeTint="99"/>
          <w:sz w:val="20"/>
          <w:szCs w:val="20"/>
        </w:rPr>
        <w:softHyphen/>
      </w:r>
      <w:r w:rsidRPr="00C0562C">
        <w:rPr>
          <w:rFonts w:ascii="Arial" w:hAnsi="Arial" w:cs="Arial"/>
          <w:color w:val="548DD4" w:themeColor="text2" w:themeTint="99"/>
          <w:sz w:val="20"/>
          <w:szCs w:val="20"/>
        </w:rPr>
        <w:softHyphen/>
      </w:r>
      <w:r w:rsidRPr="00C0562C">
        <w:rPr>
          <w:rFonts w:ascii="Arial" w:hAnsi="Arial" w:cs="Arial"/>
          <w:color w:val="548DD4" w:themeColor="text2" w:themeTint="99"/>
          <w:sz w:val="20"/>
          <w:szCs w:val="20"/>
        </w:rPr>
        <w:softHyphen/>
      </w:r>
      <w:r w:rsidRPr="00C0562C">
        <w:rPr>
          <w:rFonts w:ascii="Arial" w:hAnsi="Arial" w:cs="Arial"/>
          <w:color w:val="548DD4" w:themeColor="text2" w:themeTint="99"/>
          <w:sz w:val="20"/>
          <w:szCs w:val="20"/>
        </w:rPr>
        <w:softHyphen/>
        <w:t xml:space="preserve"> </w:t>
      </w:r>
    </w:p>
    <w:p w14:paraId="1F0AA0C7" w14:textId="77777777" w:rsidR="00E47AA0" w:rsidRPr="00C0562C" w:rsidRDefault="00E47AA0" w:rsidP="00E47AA0">
      <w:pPr>
        <w:spacing w:after="0" w:line="240" w:lineRule="auto"/>
        <w:rPr>
          <w:rFonts w:ascii="Arial" w:hAnsi="Arial" w:cs="Arial"/>
          <w:sz w:val="20"/>
          <w:szCs w:val="20"/>
        </w:rPr>
      </w:pPr>
      <w:r w:rsidRPr="00C0562C">
        <w:rPr>
          <w:rFonts w:ascii="Arial" w:hAnsi="Arial" w:cs="Arial"/>
          <w:sz w:val="20"/>
          <w:szCs w:val="20"/>
        </w:rPr>
        <w:t>Ercilia Dini, MDR/Methodology, Office for National Statistics</w:t>
      </w:r>
    </w:p>
    <w:p w14:paraId="75C6BA99" w14:textId="77777777" w:rsidR="00E47AA0" w:rsidRPr="00C0562C" w:rsidRDefault="007E3560" w:rsidP="00E47AA0">
      <w:pPr>
        <w:pBdr>
          <w:bottom w:val="single" w:sz="12" w:space="1" w:color="auto"/>
        </w:pBdr>
        <w:spacing w:after="0" w:line="240" w:lineRule="auto"/>
        <w:rPr>
          <w:rFonts w:ascii="Arial" w:hAnsi="Arial" w:cs="Arial"/>
          <w:sz w:val="20"/>
          <w:szCs w:val="20"/>
        </w:rPr>
      </w:pPr>
      <w:r>
        <w:rPr>
          <w:rFonts w:ascii="Arial" w:hAnsi="Arial" w:cs="Arial"/>
          <w:sz w:val="20"/>
          <w:szCs w:val="20"/>
        </w:rPr>
        <w:t>May</w:t>
      </w:r>
      <w:r w:rsidR="00E47AA0" w:rsidRPr="00C0562C">
        <w:rPr>
          <w:rFonts w:ascii="Arial" w:hAnsi="Arial" w:cs="Arial"/>
          <w:sz w:val="20"/>
          <w:szCs w:val="20"/>
        </w:rPr>
        <w:t xml:space="preserve"> 2019</w:t>
      </w:r>
    </w:p>
    <w:p w14:paraId="63F16449" w14:textId="77777777" w:rsidR="00E47AA0" w:rsidRPr="00C0562C" w:rsidRDefault="00E47AA0" w:rsidP="00E47AA0">
      <w:pPr>
        <w:spacing w:after="0" w:line="240" w:lineRule="auto"/>
        <w:jc w:val="both"/>
        <w:rPr>
          <w:rFonts w:ascii="Arial" w:hAnsi="Arial" w:cs="Arial"/>
          <w:b/>
          <w:color w:val="365F91" w:themeColor="accent1" w:themeShade="BF"/>
          <w:sz w:val="20"/>
          <w:szCs w:val="20"/>
        </w:rPr>
      </w:pPr>
    </w:p>
    <w:p w14:paraId="3EA12328" w14:textId="77777777" w:rsidR="00E47AA0" w:rsidRPr="00C0562C" w:rsidRDefault="00541369" w:rsidP="00860897">
      <w:pPr>
        <w:pStyle w:val="ListParagraph"/>
        <w:numPr>
          <w:ilvl w:val="0"/>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Background</w:t>
      </w:r>
    </w:p>
    <w:p w14:paraId="46CE78D1" w14:textId="77777777" w:rsidR="000A6404" w:rsidRPr="00C0562C" w:rsidRDefault="000A6404" w:rsidP="00E47AA0">
      <w:pPr>
        <w:spacing w:after="0" w:line="240" w:lineRule="auto"/>
        <w:jc w:val="both"/>
        <w:rPr>
          <w:rFonts w:ascii="Arial" w:hAnsi="Arial" w:cs="Arial"/>
          <w:b/>
          <w:color w:val="365F91" w:themeColor="accent1" w:themeShade="BF"/>
          <w:sz w:val="20"/>
          <w:szCs w:val="20"/>
        </w:rPr>
      </w:pPr>
    </w:p>
    <w:p w14:paraId="20452219" w14:textId="4A29A995" w:rsidR="00C14976" w:rsidRDefault="00E33F79" w:rsidP="00FA653C">
      <w:pPr>
        <w:spacing w:after="0" w:line="240" w:lineRule="auto"/>
        <w:jc w:val="both"/>
        <w:rPr>
          <w:rFonts w:ascii="Arial" w:hAnsi="Arial" w:cs="Arial"/>
          <w:sz w:val="20"/>
          <w:szCs w:val="20"/>
        </w:rPr>
      </w:pPr>
      <w:r w:rsidRPr="00C0562C">
        <w:rPr>
          <w:rFonts w:ascii="Arial" w:hAnsi="Arial" w:cs="Arial"/>
          <w:sz w:val="20"/>
          <w:szCs w:val="20"/>
        </w:rPr>
        <w:t xml:space="preserve">The methodology used to develop a Hard to Count (HtC) index for the 2021 Census was presented to members of the External Assurance Panel </w:t>
      </w:r>
      <w:r w:rsidR="001A29F2" w:rsidRPr="00C0562C">
        <w:rPr>
          <w:rFonts w:ascii="Arial" w:hAnsi="Arial" w:cs="Arial"/>
          <w:sz w:val="20"/>
          <w:szCs w:val="20"/>
        </w:rPr>
        <w:t>in October 2018</w:t>
      </w:r>
      <w:r w:rsidR="009E674A" w:rsidRPr="00C0562C">
        <w:rPr>
          <w:rFonts w:ascii="Arial" w:hAnsi="Arial" w:cs="Arial"/>
          <w:sz w:val="20"/>
          <w:szCs w:val="20"/>
        </w:rPr>
        <w:t xml:space="preserve"> (Dini, 2018)</w:t>
      </w:r>
      <w:r w:rsidR="001A29F2" w:rsidRPr="00C0562C">
        <w:rPr>
          <w:rFonts w:ascii="Arial" w:hAnsi="Arial" w:cs="Arial"/>
          <w:sz w:val="20"/>
          <w:szCs w:val="20"/>
        </w:rPr>
        <w:t>.</w:t>
      </w:r>
      <w:r w:rsidR="000E0257" w:rsidRPr="00C0562C">
        <w:rPr>
          <w:rFonts w:ascii="Arial" w:hAnsi="Arial" w:cs="Arial"/>
          <w:sz w:val="20"/>
          <w:szCs w:val="20"/>
        </w:rPr>
        <w:t xml:space="preserve"> </w:t>
      </w:r>
      <w:r w:rsidR="00B34EF0">
        <w:rPr>
          <w:rFonts w:ascii="Arial" w:hAnsi="Arial" w:cs="Arial"/>
          <w:sz w:val="20"/>
          <w:szCs w:val="20"/>
        </w:rPr>
        <w:t xml:space="preserve">The members made the </w:t>
      </w:r>
      <w:r w:rsidR="00C95102" w:rsidRPr="00C0562C">
        <w:rPr>
          <w:rFonts w:ascii="Arial" w:hAnsi="Arial" w:cs="Arial"/>
          <w:sz w:val="20"/>
          <w:szCs w:val="20"/>
        </w:rPr>
        <w:t xml:space="preserve">following suggestions </w:t>
      </w:r>
      <w:r w:rsidR="00044F26" w:rsidRPr="00C0562C">
        <w:rPr>
          <w:rFonts w:ascii="Arial" w:hAnsi="Arial" w:cs="Arial"/>
          <w:sz w:val="20"/>
          <w:szCs w:val="20"/>
        </w:rPr>
        <w:t>for</w:t>
      </w:r>
      <w:r w:rsidR="00C95102" w:rsidRPr="00C0562C">
        <w:rPr>
          <w:rFonts w:ascii="Arial" w:hAnsi="Arial" w:cs="Arial"/>
          <w:sz w:val="20"/>
          <w:szCs w:val="20"/>
        </w:rPr>
        <w:t xml:space="preserve"> </w:t>
      </w:r>
      <w:r w:rsidR="00A40C51" w:rsidRPr="00C0562C">
        <w:rPr>
          <w:rFonts w:ascii="Arial" w:hAnsi="Arial" w:cs="Arial"/>
          <w:sz w:val="20"/>
          <w:szCs w:val="20"/>
        </w:rPr>
        <w:t>further research work to be conducted</w:t>
      </w:r>
      <w:r w:rsidR="00161B32" w:rsidRPr="00C0562C">
        <w:rPr>
          <w:rFonts w:ascii="Arial" w:hAnsi="Arial" w:cs="Arial"/>
          <w:sz w:val="20"/>
          <w:szCs w:val="20"/>
        </w:rPr>
        <w:t>:</w:t>
      </w:r>
    </w:p>
    <w:p w14:paraId="3B5B991D" w14:textId="77777777" w:rsidR="00C14976" w:rsidRPr="00C0562C" w:rsidRDefault="00C14976" w:rsidP="00FA653C">
      <w:pPr>
        <w:spacing w:after="0" w:line="240" w:lineRule="auto"/>
        <w:jc w:val="both"/>
        <w:rPr>
          <w:rFonts w:ascii="Arial" w:hAnsi="Arial" w:cs="Arial"/>
          <w:sz w:val="20"/>
          <w:szCs w:val="20"/>
        </w:rPr>
      </w:pPr>
    </w:p>
    <w:p w14:paraId="17F2C060" w14:textId="77777777" w:rsidR="00C95102" w:rsidRPr="00C0562C" w:rsidRDefault="00073E75" w:rsidP="00FA653C">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MDR/Methodology</w:t>
      </w:r>
      <w:r w:rsidR="001C2EE2" w:rsidRPr="00C0562C">
        <w:rPr>
          <w:rFonts w:ascii="Arial" w:hAnsi="Arial" w:cs="Arial"/>
          <w:sz w:val="20"/>
          <w:szCs w:val="20"/>
        </w:rPr>
        <w:t xml:space="preserve"> to consider integrating other</w:t>
      </w:r>
      <w:r w:rsidR="001C2EE2" w:rsidRPr="00C0562C">
        <w:rPr>
          <w:rFonts w:ascii="Arial" w:hAnsi="Arial" w:cs="Arial"/>
          <w:sz w:val="20"/>
          <w:szCs w:val="20"/>
          <w:lang w:val="en-US"/>
        </w:rPr>
        <w:t xml:space="preserve"> data sources </w:t>
      </w:r>
      <w:r w:rsidR="00156994" w:rsidRPr="00C0562C">
        <w:rPr>
          <w:rFonts w:ascii="Arial" w:hAnsi="Arial" w:cs="Arial"/>
          <w:sz w:val="20"/>
          <w:szCs w:val="20"/>
          <w:lang w:val="en-US"/>
        </w:rPr>
        <w:t xml:space="preserve">into the methodology used to develop the </w:t>
      </w:r>
      <w:r w:rsidR="009B40EF" w:rsidRPr="00C0562C">
        <w:rPr>
          <w:rFonts w:ascii="Arial" w:hAnsi="Arial" w:cs="Arial"/>
          <w:sz w:val="20"/>
          <w:szCs w:val="20"/>
          <w:lang w:val="en-US"/>
        </w:rPr>
        <w:t xml:space="preserve">Digital and </w:t>
      </w:r>
      <w:r w:rsidR="001C2EE2" w:rsidRPr="00C0562C">
        <w:rPr>
          <w:rFonts w:ascii="Arial" w:hAnsi="Arial" w:cs="Arial"/>
          <w:sz w:val="20"/>
          <w:szCs w:val="20"/>
          <w:lang w:val="en-US"/>
        </w:rPr>
        <w:t xml:space="preserve">Willingness </w:t>
      </w:r>
      <w:r w:rsidR="00C95102" w:rsidRPr="00C0562C">
        <w:rPr>
          <w:rFonts w:ascii="Arial" w:hAnsi="Arial" w:cs="Arial"/>
          <w:sz w:val="20"/>
          <w:szCs w:val="20"/>
          <w:lang w:val="en-US"/>
        </w:rPr>
        <w:t>domains of the HtC index</w:t>
      </w:r>
      <w:r w:rsidR="00955C8E" w:rsidRPr="00C0562C">
        <w:rPr>
          <w:rFonts w:ascii="Arial" w:hAnsi="Arial" w:cs="Arial"/>
          <w:sz w:val="20"/>
          <w:szCs w:val="20"/>
          <w:lang w:val="en-US"/>
        </w:rPr>
        <w:t>.</w:t>
      </w:r>
    </w:p>
    <w:p w14:paraId="56CAF36C" w14:textId="77777777" w:rsidR="00C72D54" w:rsidRPr="00C0562C" w:rsidRDefault="00C72D54" w:rsidP="00FA653C">
      <w:pPr>
        <w:pStyle w:val="ListParagraph"/>
        <w:numPr>
          <w:ilvl w:val="0"/>
          <w:numId w:val="6"/>
        </w:numPr>
        <w:spacing w:after="0" w:line="240" w:lineRule="auto"/>
        <w:jc w:val="both"/>
        <w:rPr>
          <w:rFonts w:ascii="Arial" w:hAnsi="Arial" w:cs="Arial"/>
          <w:sz w:val="20"/>
          <w:szCs w:val="20"/>
        </w:rPr>
      </w:pPr>
      <w:r w:rsidRPr="00C0562C">
        <w:rPr>
          <w:rFonts w:ascii="Arial" w:hAnsi="Arial" w:cs="Arial"/>
          <w:sz w:val="20"/>
          <w:szCs w:val="20"/>
        </w:rPr>
        <w:t xml:space="preserve">ONS to consider social research </w:t>
      </w:r>
      <w:r w:rsidR="0002094A" w:rsidRPr="00C0562C">
        <w:rPr>
          <w:rFonts w:ascii="Arial" w:hAnsi="Arial" w:cs="Arial"/>
          <w:sz w:val="20"/>
          <w:szCs w:val="20"/>
        </w:rPr>
        <w:t xml:space="preserve">work </w:t>
      </w:r>
      <w:r w:rsidRPr="00C0562C">
        <w:rPr>
          <w:rFonts w:ascii="Arial" w:hAnsi="Arial" w:cs="Arial"/>
          <w:sz w:val="20"/>
          <w:szCs w:val="20"/>
        </w:rPr>
        <w:t>to explore reasons for households low/non-response to surveys</w:t>
      </w:r>
      <w:r w:rsidR="005A00F4">
        <w:rPr>
          <w:rFonts w:ascii="Arial" w:hAnsi="Arial" w:cs="Arial"/>
          <w:sz w:val="20"/>
          <w:szCs w:val="20"/>
        </w:rPr>
        <w:t>/census</w:t>
      </w:r>
      <w:r w:rsidRPr="00C0562C">
        <w:rPr>
          <w:rFonts w:ascii="Arial" w:hAnsi="Arial" w:cs="Arial"/>
          <w:sz w:val="20"/>
          <w:szCs w:val="20"/>
        </w:rPr>
        <w:t xml:space="preserve"> and how this could be improved.</w:t>
      </w:r>
    </w:p>
    <w:p w14:paraId="42E95A30" w14:textId="77777777" w:rsidR="00D5503F" w:rsidRPr="00C0562C" w:rsidRDefault="00073E75" w:rsidP="00FA653C">
      <w:pPr>
        <w:pStyle w:val="ListParagraph"/>
        <w:numPr>
          <w:ilvl w:val="0"/>
          <w:numId w:val="6"/>
        </w:numPr>
        <w:spacing w:after="0" w:line="240" w:lineRule="auto"/>
        <w:jc w:val="both"/>
        <w:rPr>
          <w:rFonts w:ascii="Arial" w:hAnsi="Arial" w:cs="Arial"/>
          <w:sz w:val="20"/>
          <w:szCs w:val="20"/>
        </w:rPr>
      </w:pPr>
      <w:r>
        <w:rPr>
          <w:rFonts w:ascii="Arial" w:hAnsi="Arial" w:cs="Arial"/>
          <w:sz w:val="20"/>
          <w:szCs w:val="20"/>
          <w:lang w:val="en-US"/>
        </w:rPr>
        <w:t>MDR/Methodology</w:t>
      </w:r>
      <w:r w:rsidR="001C2EE2" w:rsidRPr="00C0562C">
        <w:rPr>
          <w:rFonts w:ascii="Arial" w:hAnsi="Arial" w:cs="Arial"/>
          <w:sz w:val="20"/>
          <w:szCs w:val="20"/>
          <w:lang w:val="en-US"/>
        </w:rPr>
        <w:t xml:space="preserve"> to i</w:t>
      </w:r>
      <w:r w:rsidR="00955C8E" w:rsidRPr="00C0562C">
        <w:rPr>
          <w:rFonts w:ascii="Arial" w:hAnsi="Arial" w:cs="Arial"/>
          <w:sz w:val="20"/>
          <w:szCs w:val="20"/>
          <w:lang w:val="en-US"/>
        </w:rPr>
        <w:t xml:space="preserve">nvestigate international practice and patterns </w:t>
      </w:r>
      <w:r w:rsidR="00D5503F" w:rsidRPr="00C0562C">
        <w:rPr>
          <w:rFonts w:ascii="Arial" w:hAnsi="Arial" w:cs="Arial"/>
          <w:sz w:val="20"/>
          <w:szCs w:val="20"/>
          <w:lang w:val="en-US"/>
        </w:rPr>
        <w:t xml:space="preserve">of response to online censuses and consider if these would be applicable to the </w:t>
      </w:r>
      <w:r w:rsidR="00C95102" w:rsidRPr="00C0562C">
        <w:rPr>
          <w:rFonts w:ascii="Arial" w:hAnsi="Arial" w:cs="Arial"/>
          <w:sz w:val="20"/>
          <w:szCs w:val="20"/>
          <w:lang w:val="en-US"/>
        </w:rPr>
        <w:t xml:space="preserve">HtC index for the 2021 Census in </w:t>
      </w:r>
      <w:r w:rsidR="00C95102" w:rsidRPr="00C0562C">
        <w:rPr>
          <w:rFonts w:ascii="Arial" w:hAnsi="Arial" w:cs="Arial"/>
          <w:sz w:val="20"/>
          <w:szCs w:val="20"/>
        </w:rPr>
        <w:t>E</w:t>
      </w:r>
      <w:r w:rsidR="00D5503F" w:rsidRPr="00C0562C">
        <w:rPr>
          <w:rFonts w:ascii="Arial" w:hAnsi="Arial" w:cs="Arial"/>
          <w:sz w:val="20"/>
          <w:szCs w:val="20"/>
        </w:rPr>
        <w:t>ngland and Wales.</w:t>
      </w:r>
    </w:p>
    <w:p w14:paraId="0D35C91E" w14:textId="77777777" w:rsidR="00C95102" w:rsidRPr="00C0562C" w:rsidRDefault="00D5503F" w:rsidP="00FA653C">
      <w:pPr>
        <w:pStyle w:val="ListParagraph"/>
        <w:numPr>
          <w:ilvl w:val="0"/>
          <w:numId w:val="6"/>
        </w:numPr>
        <w:spacing w:after="0" w:line="240" w:lineRule="auto"/>
        <w:jc w:val="both"/>
        <w:rPr>
          <w:rFonts w:ascii="Arial" w:hAnsi="Arial" w:cs="Arial"/>
          <w:sz w:val="20"/>
          <w:szCs w:val="20"/>
        </w:rPr>
      </w:pPr>
      <w:r w:rsidRPr="00C0562C">
        <w:rPr>
          <w:rFonts w:ascii="Arial" w:hAnsi="Arial" w:cs="Arial"/>
          <w:sz w:val="20"/>
          <w:szCs w:val="20"/>
        </w:rPr>
        <w:t xml:space="preserve">ONS to continue working </w:t>
      </w:r>
      <w:r w:rsidR="00C95102" w:rsidRPr="00C0562C">
        <w:rPr>
          <w:rFonts w:ascii="Arial" w:hAnsi="Arial" w:cs="Arial"/>
          <w:sz w:val="20"/>
          <w:szCs w:val="20"/>
          <w:lang w:val="en-US"/>
        </w:rPr>
        <w:t>to obtain access to data from other suitable sources</w:t>
      </w:r>
      <w:r w:rsidR="001C2EE2" w:rsidRPr="00C0562C">
        <w:rPr>
          <w:rFonts w:ascii="Arial" w:hAnsi="Arial" w:cs="Arial"/>
          <w:sz w:val="20"/>
          <w:szCs w:val="20"/>
          <w:lang w:val="en-US"/>
        </w:rPr>
        <w:t xml:space="preserve"> (administrative and commercial data).</w:t>
      </w:r>
    </w:p>
    <w:p w14:paraId="63714A08" w14:textId="77777777" w:rsidR="00D5503F" w:rsidRPr="00C0562C" w:rsidRDefault="00D5503F" w:rsidP="00FA653C">
      <w:pPr>
        <w:spacing w:after="0" w:line="240" w:lineRule="auto"/>
        <w:jc w:val="both"/>
        <w:rPr>
          <w:rFonts w:ascii="Arial" w:hAnsi="Arial" w:cs="Arial"/>
          <w:sz w:val="20"/>
          <w:szCs w:val="20"/>
        </w:rPr>
      </w:pPr>
    </w:p>
    <w:p w14:paraId="0C31EF59" w14:textId="77777777" w:rsidR="00B110FB" w:rsidRPr="00C0562C" w:rsidRDefault="00205902" w:rsidP="00FA653C">
      <w:pPr>
        <w:spacing w:after="0" w:line="240" w:lineRule="auto"/>
        <w:jc w:val="both"/>
        <w:rPr>
          <w:rFonts w:ascii="Arial" w:hAnsi="Arial" w:cs="Arial"/>
          <w:sz w:val="20"/>
          <w:szCs w:val="20"/>
        </w:rPr>
      </w:pPr>
      <w:r w:rsidRPr="00C0562C">
        <w:rPr>
          <w:rFonts w:ascii="Arial" w:hAnsi="Arial" w:cs="Arial"/>
          <w:sz w:val="20"/>
          <w:szCs w:val="20"/>
        </w:rPr>
        <w:t>Th</w:t>
      </w:r>
      <w:r w:rsidR="001D46A5" w:rsidRPr="00C0562C">
        <w:rPr>
          <w:rFonts w:ascii="Arial" w:hAnsi="Arial" w:cs="Arial"/>
          <w:sz w:val="20"/>
          <w:szCs w:val="20"/>
        </w:rPr>
        <w:t>is</w:t>
      </w:r>
      <w:r w:rsidR="008621D1" w:rsidRPr="00C0562C">
        <w:rPr>
          <w:rFonts w:ascii="Arial" w:hAnsi="Arial" w:cs="Arial"/>
          <w:sz w:val="20"/>
          <w:szCs w:val="20"/>
        </w:rPr>
        <w:t xml:space="preserve"> paper presents </w:t>
      </w:r>
      <w:r w:rsidR="0022732E" w:rsidRPr="00C0562C">
        <w:rPr>
          <w:rFonts w:ascii="Arial" w:hAnsi="Arial" w:cs="Arial"/>
          <w:sz w:val="20"/>
          <w:szCs w:val="20"/>
        </w:rPr>
        <w:t xml:space="preserve">an update on </w:t>
      </w:r>
      <w:r w:rsidR="00C15634" w:rsidRPr="00C0562C">
        <w:rPr>
          <w:rFonts w:ascii="Arial" w:hAnsi="Arial" w:cs="Arial"/>
          <w:sz w:val="20"/>
          <w:szCs w:val="20"/>
        </w:rPr>
        <w:t xml:space="preserve">further research </w:t>
      </w:r>
      <w:r w:rsidR="0022732E" w:rsidRPr="00C0562C">
        <w:rPr>
          <w:rFonts w:ascii="Arial" w:hAnsi="Arial" w:cs="Arial"/>
          <w:sz w:val="20"/>
          <w:szCs w:val="20"/>
        </w:rPr>
        <w:t xml:space="preserve">work </w:t>
      </w:r>
      <w:r w:rsidR="008621D1" w:rsidRPr="00C0562C">
        <w:rPr>
          <w:rFonts w:ascii="Arial" w:hAnsi="Arial" w:cs="Arial"/>
          <w:sz w:val="20"/>
          <w:szCs w:val="20"/>
        </w:rPr>
        <w:t xml:space="preserve">conducted to address the EAP </w:t>
      </w:r>
      <w:r w:rsidR="00717CE5">
        <w:rPr>
          <w:rFonts w:ascii="Arial" w:hAnsi="Arial" w:cs="Arial"/>
          <w:sz w:val="20"/>
          <w:szCs w:val="20"/>
        </w:rPr>
        <w:t xml:space="preserve">members’ </w:t>
      </w:r>
      <w:r w:rsidR="008621D1" w:rsidRPr="00C0562C">
        <w:rPr>
          <w:rFonts w:ascii="Arial" w:hAnsi="Arial" w:cs="Arial"/>
          <w:sz w:val="20"/>
          <w:szCs w:val="20"/>
        </w:rPr>
        <w:t xml:space="preserve">suggestions and </w:t>
      </w:r>
      <w:r w:rsidR="001F33B6">
        <w:rPr>
          <w:rFonts w:ascii="Arial" w:hAnsi="Arial" w:cs="Arial"/>
          <w:sz w:val="20"/>
          <w:szCs w:val="20"/>
        </w:rPr>
        <w:t>our</w:t>
      </w:r>
      <w:r w:rsidR="008621D1" w:rsidRPr="00C0562C">
        <w:rPr>
          <w:rFonts w:ascii="Arial" w:hAnsi="Arial" w:cs="Arial"/>
          <w:sz w:val="20"/>
          <w:szCs w:val="20"/>
        </w:rPr>
        <w:t xml:space="preserve"> recommendations </w:t>
      </w:r>
      <w:r w:rsidR="00A06496" w:rsidRPr="00C0562C">
        <w:rPr>
          <w:rFonts w:ascii="Arial" w:hAnsi="Arial" w:cs="Arial"/>
          <w:sz w:val="20"/>
          <w:szCs w:val="20"/>
        </w:rPr>
        <w:t>made</w:t>
      </w:r>
      <w:r w:rsidR="008621D1" w:rsidRPr="00C0562C">
        <w:rPr>
          <w:rFonts w:ascii="Arial" w:hAnsi="Arial" w:cs="Arial"/>
          <w:sz w:val="20"/>
          <w:szCs w:val="20"/>
        </w:rPr>
        <w:t xml:space="preserve"> based on the results obtained. </w:t>
      </w:r>
      <w:r w:rsidR="00B110FB" w:rsidRPr="00C0562C">
        <w:rPr>
          <w:rFonts w:ascii="Arial" w:hAnsi="Arial" w:cs="Arial"/>
          <w:sz w:val="20"/>
          <w:szCs w:val="20"/>
        </w:rPr>
        <w:t xml:space="preserve"> </w:t>
      </w:r>
    </w:p>
    <w:p w14:paraId="72B7E605" w14:textId="77777777" w:rsidR="00CF09A0" w:rsidRPr="00C0562C" w:rsidRDefault="00CF09A0" w:rsidP="00FA653C">
      <w:pPr>
        <w:spacing w:after="0" w:line="240" w:lineRule="auto"/>
        <w:jc w:val="both"/>
        <w:rPr>
          <w:rFonts w:ascii="Arial" w:hAnsi="Arial" w:cs="Arial"/>
          <w:sz w:val="20"/>
          <w:szCs w:val="20"/>
        </w:rPr>
      </w:pPr>
    </w:p>
    <w:p w14:paraId="140052F8" w14:textId="77777777" w:rsidR="0002094A" w:rsidRPr="00C0562C" w:rsidRDefault="0002094A" w:rsidP="00FA653C">
      <w:pPr>
        <w:spacing w:after="0" w:line="240" w:lineRule="auto"/>
        <w:jc w:val="both"/>
        <w:rPr>
          <w:rFonts w:ascii="Arial" w:hAnsi="Arial" w:cs="Arial"/>
          <w:sz w:val="20"/>
          <w:szCs w:val="20"/>
        </w:rPr>
      </w:pPr>
      <w:r w:rsidRPr="00C0562C">
        <w:rPr>
          <w:rFonts w:ascii="Arial" w:hAnsi="Arial" w:cs="Arial"/>
          <w:sz w:val="20"/>
          <w:szCs w:val="20"/>
        </w:rPr>
        <w:t xml:space="preserve">Section 2 of this paper presents further research work conducted </w:t>
      </w:r>
      <w:r w:rsidR="00073E75">
        <w:rPr>
          <w:rFonts w:ascii="Arial" w:hAnsi="Arial" w:cs="Arial"/>
          <w:sz w:val="20"/>
          <w:szCs w:val="20"/>
        </w:rPr>
        <w:t xml:space="preserve">by </w:t>
      </w:r>
      <w:r w:rsidR="009E286D">
        <w:rPr>
          <w:rFonts w:ascii="Arial" w:hAnsi="Arial" w:cs="Arial"/>
          <w:sz w:val="20"/>
          <w:szCs w:val="20"/>
        </w:rPr>
        <w:t>MDR/</w:t>
      </w:r>
      <w:r w:rsidR="00073E75">
        <w:rPr>
          <w:rFonts w:ascii="Arial" w:hAnsi="Arial" w:cs="Arial"/>
          <w:sz w:val="20"/>
          <w:szCs w:val="20"/>
        </w:rPr>
        <w:t xml:space="preserve">Methodology </w:t>
      </w:r>
      <w:r w:rsidRPr="00C0562C">
        <w:rPr>
          <w:rFonts w:ascii="Arial" w:hAnsi="Arial" w:cs="Arial"/>
          <w:sz w:val="20"/>
          <w:szCs w:val="20"/>
        </w:rPr>
        <w:t xml:space="preserve">on </w:t>
      </w:r>
      <w:r w:rsidR="00F614E8">
        <w:rPr>
          <w:rFonts w:ascii="Arial" w:hAnsi="Arial" w:cs="Arial"/>
          <w:sz w:val="20"/>
          <w:szCs w:val="20"/>
        </w:rPr>
        <w:t>both (Willingness and Digital) domains o</w:t>
      </w:r>
      <w:r w:rsidRPr="00C0562C">
        <w:rPr>
          <w:rFonts w:ascii="Arial" w:hAnsi="Arial" w:cs="Arial"/>
          <w:sz w:val="20"/>
          <w:szCs w:val="20"/>
        </w:rPr>
        <w:t>f the HtC index. Section 3 presents ONS work to improve response to surveys</w:t>
      </w:r>
      <w:r w:rsidR="004E1988" w:rsidRPr="004E1988">
        <w:rPr>
          <w:rFonts w:ascii="Arial" w:hAnsi="Arial" w:cs="Arial"/>
          <w:sz w:val="20"/>
          <w:szCs w:val="20"/>
        </w:rPr>
        <w:t xml:space="preserve"> </w:t>
      </w:r>
      <w:r w:rsidR="004E1988" w:rsidRPr="00C0562C">
        <w:rPr>
          <w:rFonts w:ascii="Arial" w:hAnsi="Arial" w:cs="Arial"/>
          <w:sz w:val="20"/>
          <w:szCs w:val="20"/>
        </w:rPr>
        <w:t>and to the 2021 Census</w:t>
      </w:r>
      <w:r w:rsidR="004E1988">
        <w:rPr>
          <w:rFonts w:ascii="Arial" w:hAnsi="Arial" w:cs="Arial"/>
          <w:sz w:val="20"/>
          <w:szCs w:val="20"/>
        </w:rPr>
        <w:t>. It also</w:t>
      </w:r>
      <w:r w:rsidRPr="00C0562C">
        <w:rPr>
          <w:rFonts w:ascii="Arial" w:hAnsi="Arial" w:cs="Arial"/>
          <w:sz w:val="20"/>
          <w:szCs w:val="20"/>
        </w:rPr>
        <w:t xml:space="preserve"> </w:t>
      </w:r>
      <w:r w:rsidR="004E1988">
        <w:rPr>
          <w:rFonts w:ascii="Arial" w:hAnsi="Arial" w:cs="Arial"/>
          <w:sz w:val="20"/>
          <w:szCs w:val="20"/>
        </w:rPr>
        <w:t xml:space="preserve">presents an update on how information from other </w:t>
      </w:r>
      <w:r w:rsidR="009E286D">
        <w:rPr>
          <w:rFonts w:ascii="Arial" w:hAnsi="Arial" w:cs="Arial"/>
          <w:sz w:val="20"/>
          <w:szCs w:val="20"/>
        </w:rPr>
        <w:t xml:space="preserve">countries </w:t>
      </w:r>
      <w:r w:rsidR="004E1988">
        <w:rPr>
          <w:rFonts w:ascii="Arial" w:hAnsi="Arial" w:cs="Arial"/>
          <w:sz w:val="20"/>
          <w:szCs w:val="20"/>
        </w:rPr>
        <w:t xml:space="preserve">censuses was considered in the development of the HtC index for the 2021 Census. </w:t>
      </w:r>
      <w:r w:rsidRPr="00C0562C">
        <w:rPr>
          <w:rFonts w:ascii="Arial" w:hAnsi="Arial" w:cs="Arial"/>
          <w:sz w:val="20"/>
          <w:szCs w:val="20"/>
        </w:rPr>
        <w:t xml:space="preserve">Section 4 presents </w:t>
      </w:r>
      <w:r w:rsidR="00480ABC" w:rsidRPr="00C0562C">
        <w:rPr>
          <w:rFonts w:ascii="Arial" w:hAnsi="Arial" w:cs="Arial"/>
          <w:sz w:val="20"/>
          <w:szCs w:val="20"/>
        </w:rPr>
        <w:t xml:space="preserve">an updated on </w:t>
      </w:r>
      <w:r w:rsidRPr="00C0562C">
        <w:rPr>
          <w:rFonts w:ascii="Arial" w:hAnsi="Arial" w:cs="Arial"/>
          <w:sz w:val="20"/>
          <w:szCs w:val="20"/>
        </w:rPr>
        <w:t>ONS work to obtain access to other data sources. Section 5 presents recommendations made</w:t>
      </w:r>
      <w:r w:rsidR="00D074A4" w:rsidRPr="00C0562C">
        <w:rPr>
          <w:rFonts w:ascii="Arial" w:hAnsi="Arial" w:cs="Arial"/>
          <w:sz w:val="20"/>
          <w:szCs w:val="20"/>
        </w:rPr>
        <w:t>.</w:t>
      </w:r>
      <w:r w:rsidRPr="00C0562C">
        <w:rPr>
          <w:rFonts w:ascii="Arial" w:hAnsi="Arial" w:cs="Arial"/>
          <w:sz w:val="20"/>
          <w:szCs w:val="20"/>
        </w:rPr>
        <w:t xml:space="preserve"> Section 6 presents the references</w:t>
      </w:r>
      <w:r w:rsidR="004E5805" w:rsidRPr="00C0562C">
        <w:rPr>
          <w:rFonts w:ascii="Arial" w:hAnsi="Arial" w:cs="Arial"/>
          <w:sz w:val="20"/>
          <w:szCs w:val="20"/>
        </w:rPr>
        <w:t xml:space="preserve"> and Annex A more information</w:t>
      </w:r>
      <w:r w:rsidR="008643F7" w:rsidRPr="00C0562C">
        <w:rPr>
          <w:rFonts w:ascii="Arial" w:hAnsi="Arial" w:cs="Arial"/>
          <w:sz w:val="20"/>
          <w:szCs w:val="20"/>
        </w:rPr>
        <w:t xml:space="preserve"> on methodology</w:t>
      </w:r>
      <w:r w:rsidR="00D074A4" w:rsidRPr="00C0562C">
        <w:rPr>
          <w:rFonts w:ascii="Arial" w:hAnsi="Arial" w:cs="Arial"/>
          <w:sz w:val="20"/>
          <w:szCs w:val="20"/>
        </w:rPr>
        <w:t xml:space="preserve"> of further research on the domains of the HtC index</w:t>
      </w:r>
      <w:r w:rsidRPr="00C0562C">
        <w:rPr>
          <w:rFonts w:ascii="Arial" w:hAnsi="Arial" w:cs="Arial"/>
          <w:sz w:val="20"/>
          <w:szCs w:val="20"/>
        </w:rPr>
        <w:t xml:space="preserve">. </w:t>
      </w:r>
    </w:p>
    <w:p w14:paraId="6B7B9F06" w14:textId="77777777" w:rsidR="0002094A" w:rsidRPr="00C0562C" w:rsidRDefault="0002094A" w:rsidP="00FA653C">
      <w:pPr>
        <w:spacing w:after="0" w:line="240" w:lineRule="auto"/>
        <w:jc w:val="both"/>
        <w:rPr>
          <w:rFonts w:ascii="Arial" w:hAnsi="Arial" w:cs="Arial"/>
          <w:sz w:val="20"/>
          <w:szCs w:val="20"/>
        </w:rPr>
      </w:pPr>
    </w:p>
    <w:p w14:paraId="0090AC75" w14:textId="77777777" w:rsidR="00C345C7" w:rsidRPr="00C0562C" w:rsidRDefault="00C345C7" w:rsidP="00FA653C">
      <w:pPr>
        <w:spacing w:after="0" w:line="240" w:lineRule="auto"/>
        <w:jc w:val="both"/>
        <w:rPr>
          <w:rFonts w:ascii="Arial" w:hAnsi="Arial" w:cs="Arial"/>
          <w:sz w:val="20"/>
          <w:szCs w:val="20"/>
        </w:rPr>
      </w:pPr>
      <w:r w:rsidRPr="00C0562C">
        <w:rPr>
          <w:rFonts w:ascii="Arial" w:hAnsi="Arial" w:cs="Arial"/>
          <w:sz w:val="20"/>
          <w:szCs w:val="20"/>
        </w:rPr>
        <w:t xml:space="preserve">CRAG members are invited to comment on </w:t>
      </w:r>
      <w:r w:rsidR="00456B9A" w:rsidRPr="00C0562C">
        <w:rPr>
          <w:rFonts w:ascii="Arial" w:hAnsi="Arial" w:cs="Arial"/>
          <w:sz w:val="20"/>
          <w:szCs w:val="20"/>
        </w:rPr>
        <w:t xml:space="preserve">research work conducted and </w:t>
      </w:r>
      <w:r w:rsidRPr="00C0562C">
        <w:rPr>
          <w:rFonts w:ascii="Arial" w:hAnsi="Arial" w:cs="Arial"/>
          <w:sz w:val="20"/>
          <w:szCs w:val="20"/>
        </w:rPr>
        <w:t xml:space="preserve">recommendations </w:t>
      </w:r>
      <w:r w:rsidR="008621D1" w:rsidRPr="00C0562C">
        <w:rPr>
          <w:rFonts w:ascii="Arial" w:hAnsi="Arial" w:cs="Arial"/>
          <w:sz w:val="20"/>
          <w:szCs w:val="20"/>
        </w:rPr>
        <w:t>made</w:t>
      </w:r>
      <w:r w:rsidRPr="00C0562C">
        <w:rPr>
          <w:rFonts w:ascii="Arial" w:hAnsi="Arial" w:cs="Arial"/>
          <w:sz w:val="20"/>
          <w:szCs w:val="20"/>
        </w:rPr>
        <w:t xml:space="preserve">. </w:t>
      </w:r>
    </w:p>
    <w:p w14:paraId="4934C0F9" w14:textId="77777777" w:rsidR="00860897" w:rsidRPr="00C0562C" w:rsidRDefault="00860897" w:rsidP="00FA653C">
      <w:pPr>
        <w:spacing w:after="0" w:line="240" w:lineRule="auto"/>
        <w:rPr>
          <w:rFonts w:ascii="Arial" w:hAnsi="Arial" w:cs="Arial"/>
          <w:sz w:val="20"/>
          <w:szCs w:val="20"/>
          <w:u w:val="single"/>
        </w:rPr>
      </w:pPr>
    </w:p>
    <w:p w14:paraId="07DBDA57" w14:textId="77777777" w:rsidR="00860897" w:rsidRPr="00C0562C" w:rsidRDefault="001A43CD" w:rsidP="00860897">
      <w:pPr>
        <w:pStyle w:val="ListParagraph"/>
        <w:numPr>
          <w:ilvl w:val="0"/>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F</w:t>
      </w:r>
      <w:r w:rsidR="00860897" w:rsidRPr="00C0562C">
        <w:rPr>
          <w:rFonts w:ascii="Arial" w:hAnsi="Arial" w:cs="Arial"/>
          <w:b/>
          <w:color w:val="365F91" w:themeColor="accent1" w:themeShade="BF"/>
          <w:sz w:val="20"/>
          <w:szCs w:val="20"/>
        </w:rPr>
        <w:t xml:space="preserve">urther research </w:t>
      </w:r>
      <w:r w:rsidR="00BF4D72" w:rsidRPr="00C0562C">
        <w:rPr>
          <w:rFonts w:ascii="Arial" w:hAnsi="Arial" w:cs="Arial"/>
          <w:b/>
          <w:color w:val="365F91" w:themeColor="accent1" w:themeShade="BF"/>
          <w:sz w:val="20"/>
          <w:szCs w:val="20"/>
        </w:rPr>
        <w:t xml:space="preserve">work </w:t>
      </w:r>
      <w:r w:rsidR="00860897" w:rsidRPr="00C0562C">
        <w:rPr>
          <w:rFonts w:ascii="Arial" w:hAnsi="Arial" w:cs="Arial"/>
          <w:b/>
          <w:color w:val="365F91" w:themeColor="accent1" w:themeShade="BF"/>
          <w:sz w:val="20"/>
          <w:szCs w:val="20"/>
        </w:rPr>
        <w:t>conducted</w:t>
      </w:r>
      <w:r w:rsidR="00C72D54" w:rsidRPr="00C0562C">
        <w:rPr>
          <w:rFonts w:ascii="Arial" w:hAnsi="Arial" w:cs="Arial"/>
          <w:b/>
          <w:color w:val="365F91" w:themeColor="accent1" w:themeShade="BF"/>
          <w:sz w:val="20"/>
          <w:szCs w:val="20"/>
        </w:rPr>
        <w:t xml:space="preserve"> on the domains of the HtC index</w:t>
      </w:r>
    </w:p>
    <w:p w14:paraId="1853FE4B" w14:textId="77777777" w:rsidR="00BA2FC7" w:rsidRPr="00C0562C" w:rsidRDefault="00BA2FC7" w:rsidP="00BA2FC7">
      <w:pPr>
        <w:spacing w:after="0"/>
        <w:jc w:val="both"/>
        <w:rPr>
          <w:rFonts w:ascii="Arial" w:hAnsi="Arial" w:cs="Arial"/>
          <w:sz w:val="20"/>
          <w:szCs w:val="20"/>
        </w:rPr>
      </w:pPr>
    </w:p>
    <w:p w14:paraId="694F500C" w14:textId="77777777" w:rsidR="006E2F67" w:rsidRPr="00C0562C" w:rsidRDefault="006E2F67" w:rsidP="006E2F67">
      <w:pPr>
        <w:spacing w:after="0" w:line="240" w:lineRule="auto"/>
        <w:jc w:val="both"/>
        <w:rPr>
          <w:rFonts w:ascii="Arial" w:hAnsi="Arial" w:cs="Arial"/>
          <w:sz w:val="20"/>
          <w:szCs w:val="20"/>
        </w:rPr>
      </w:pPr>
      <w:r w:rsidRPr="00C0562C">
        <w:rPr>
          <w:rFonts w:ascii="Arial" w:hAnsi="Arial" w:cs="Arial"/>
          <w:sz w:val="20"/>
          <w:szCs w:val="20"/>
        </w:rPr>
        <w:t xml:space="preserve">The main point highlighted by the members of the EAP was that neither the Digital or the Willingness domain of the HtC index captured willingness to complete a census digitally. In other words, the digital willingness ability was unmeasured.  It did not necessarily correlate with either the digital infrastructure </w:t>
      </w:r>
      <w:r w:rsidR="009666CB">
        <w:rPr>
          <w:rFonts w:ascii="Arial" w:hAnsi="Arial" w:cs="Arial"/>
          <w:sz w:val="20"/>
          <w:szCs w:val="20"/>
        </w:rPr>
        <w:t>of the i</w:t>
      </w:r>
      <w:r w:rsidRPr="00C0562C">
        <w:rPr>
          <w:rFonts w:ascii="Arial" w:hAnsi="Arial" w:cs="Arial"/>
          <w:sz w:val="20"/>
          <w:szCs w:val="20"/>
        </w:rPr>
        <w:t xml:space="preserve">ndicator used to measure </w:t>
      </w:r>
      <w:proofErr w:type="gramStart"/>
      <w:r w:rsidRPr="00C0562C">
        <w:rPr>
          <w:rFonts w:ascii="Arial" w:hAnsi="Arial" w:cs="Arial"/>
          <w:sz w:val="20"/>
          <w:szCs w:val="20"/>
        </w:rPr>
        <w:t>households</w:t>
      </w:r>
      <w:proofErr w:type="gramEnd"/>
      <w:r w:rsidRPr="00C0562C">
        <w:rPr>
          <w:rFonts w:ascii="Arial" w:hAnsi="Arial" w:cs="Arial"/>
          <w:sz w:val="20"/>
          <w:szCs w:val="20"/>
        </w:rPr>
        <w:t xml:space="preserve"> access to broadband internet or </w:t>
      </w:r>
      <w:r w:rsidR="009666CB">
        <w:rPr>
          <w:rFonts w:ascii="Arial" w:hAnsi="Arial" w:cs="Arial"/>
          <w:sz w:val="20"/>
          <w:szCs w:val="20"/>
        </w:rPr>
        <w:t xml:space="preserve">to </w:t>
      </w:r>
      <w:r w:rsidR="00F4787B">
        <w:rPr>
          <w:rFonts w:ascii="Arial" w:hAnsi="Arial" w:cs="Arial"/>
          <w:sz w:val="20"/>
          <w:szCs w:val="20"/>
        </w:rPr>
        <w:t>‘</w:t>
      </w:r>
      <w:r w:rsidRPr="00C0562C">
        <w:rPr>
          <w:rFonts w:ascii="Arial" w:hAnsi="Arial" w:cs="Arial"/>
          <w:sz w:val="20"/>
          <w:szCs w:val="20"/>
        </w:rPr>
        <w:t>response willingness</w:t>
      </w:r>
      <w:r w:rsidR="00F4787B">
        <w:rPr>
          <w:rFonts w:ascii="Arial" w:hAnsi="Arial" w:cs="Arial"/>
          <w:sz w:val="20"/>
          <w:szCs w:val="20"/>
        </w:rPr>
        <w:t>’</w:t>
      </w:r>
      <w:r w:rsidRPr="00C0562C">
        <w:rPr>
          <w:rFonts w:ascii="Arial" w:hAnsi="Arial" w:cs="Arial"/>
          <w:sz w:val="20"/>
          <w:szCs w:val="20"/>
        </w:rPr>
        <w:t xml:space="preserve"> which was modelled on a primarily paper-based census response.</w:t>
      </w:r>
    </w:p>
    <w:p w14:paraId="22BEBD2B" w14:textId="77777777" w:rsidR="00576C1E" w:rsidRDefault="00576C1E" w:rsidP="00FA653C">
      <w:pPr>
        <w:spacing w:after="0" w:line="240" w:lineRule="auto"/>
        <w:jc w:val="both"/>
        <w:rPr>
          <w:rFonts w:ascii="Arial" w:hAnsi="Arial" w:cs="Arial"/>
          <w:sz w:val="20"/>
          <w:szCs w:val="20"/>
        </w:rPr>
      </w:pPr>
    </w:p>
    <w:p w14:paraId="0A6BE82D" w14:textId="77777777" w:rsidR="00A06496" w:rsidRDefault="00A06496" w:rsidP="00FA653C">
      <w:pPr>
        <w:spacing w:after="0" w:line="240" w:lineRule="auto"/>
        <w:jc w:val="both"/>
        <w:rPr>
          <w:rFonts w:ascii="Arial" w:hAnsi="Arial" w:cs="Arial"/>
          <w:sz w:val="20"/>
          <w:szCs w:val="20"/>
        </w:rPr>
      </w:pPr>
      <w:r w:rsidRPr="00C0562C">
        <w:rPr>
          <w:rFonts w:ascii="Arial" w:hAnsi="Arial" w:cs="Arial"/>
          <w:sz w:val="20"/>
          <w:szCs w:val="20"/>
        </w:rPr>
        <w:t xml:space="preserve">Section 2.1 presents the methodology developed to </w:t>
      </w:r>
      <w:r w:rsidR="008244BB" w:rsidRPr="00C0562C">
        <w:rPr>
          <w:rFonts w:ascii="Arial" w:hAnsi="Arial" w:cs="Arial"/>
          <w:sz w:val="20"/>
          <w:szCs w:val="20"/>
        </w:rPr>
        <w:t xml:space="preserve">improve </w:t>
      </w:r>
      <w:r w:rsidRPr="00C0562C">
        <w:rPr>
          <w:rFonts w:ascii="Arial" w:hAnsi="Arial" w:cs="Arial"/>
          <w:sz w:val="20"/>
          <w:szCs w:val="20"/>
        </w:rPr>
        <w:t xml:space="preserve">the Digital domain of the HtC index. Section 2.2 presents </w:t>
      </w:r>
      <w:r w:rsidR="00111531" w:rsidRPr="00C0562C">
        <w:rPr>
          <w:rFonts w:ascii="Arial" w:hAnsi="Arial" w:cs="Arial"/>
          <w:sz w:val="20"/>
          <w:szCs w:val="20"/>
        </w:rPr>
        <w:t xml:space="preserve">an update on </w:t>
      </w:r>
      <w:r w:rsidRPr="00C0562C">
        <w:rPr>
          <w:rFonts w:ascii="Arial" w:hAnsi="Arial" w:cs="Arial"/>
          <w:sz w:val="20"/>
          <w:szCs w:val="20"/>
        </w:rPr>
        <w:t>research work</w:t>
      </w:r>
      <w:r w:rsidR="00BF4D72" w:rsidRPr="00C0562C">
        <w:rPr>
          <w:rFonts w:ascii="Arial" w:hAnsi="Arial" w:cs="Arial"/>
          <w:sz w:val="20"/>
          <w:szCs w:val="20"/>
        </w:rPr>
        <w:t xml:space="preserve"> that had been conducted and additional research </w:t>
      </w:r>
      <w:r w:rsidRPr="00C0562C">
        <w:rPr>
          <w:rFonts w:ascii="Arial" w:hAnsi="Arial" w:cs="Arial"/>
          <w:sz w:val="20"/>
          <w:szCs w:val="20"/>
        </w:rPr>
        <w:t xml:space="preserve">conducted considering the integration of a digital variable into the Willingness domain of the HtC index. </w:t>
      </w:r>
    </w:p>
    <w:p w14:paraId="68B6B9BF" w14:textId="77777777" w:rsidR="00FA653C" w:rsidRPr="00C0562C" w:rsidRDefault="00FA653C" w:rsidP="00FA653C">
      <w:pPr>
        <w:spacing w:after="0" w:line="240" w:lineRule="auto"/>
        <w:jc w:val="both"/>
        <w:rPr>
          <w:rFonts w:ascii="Arial" w:hAnsi="Arial" w:cs="Arial"/>
          <w:sz w:val="20"/>
          <w:szCs w:val="20"/>
        </w:rPr>
      </w:pPr>
    </w:p>
    <w:p w14:paraId="4500C574" w14:textId="77777777" w:rsidR="00860897" w:rsidRPr="00C0562C" w:rsidRDefault="00A35782" w:rsidP="00FA653C">
      <w:pPr>
        <w:pStyle w:val="ListParagraph"/>
        <w:numPr>
          <w:ilvl w:val="1"/>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 xml:space="preserve">Methodology developed to </w:t>
      </w:r>
      <w:r w:rsidR="008244BB" w:rsidRPr="00C0562C">
        <w:rPr>
          <w:rFonts w:ascii="Arial" w:hAnsi="Arial" w:cs="Arial"/>
          <w:b/>
          <w:color w:val="365F91" w:themeColor="accent1" w:themeShade="BF"/>
          <w:sz w:val="20"/>
          <w:szCs w:val="20"/>
        </w:rPr>
        <w:t xml:space="preserve">improve </w:t>
      </w:r>
      <w:r w:rsidR="00242778" w:rsidRPr="00C0562C">
        <w:rPr>
          <w:rFonts w:ascii="Arial" w:hAnsi="Arial" w:cs="Arial"/>
          <w:b/>
          <w:color w:val="365F91" w:themeColor="accent1" w:themeShade="BF"/>
          <w:sz w:val="20"/>
          <w:szCs w:val="20"/>
        </w:rPr>
        <w:t xml:space="preserve">the </w:t>
      </w:r>
      <w:r w:rsidRPr="00C0562C">
        <w:rPr>
          <w:rFonts w:ascii="Arial" w:hAnsi="Arial" w:cs="Arial"/>
          <w:b/>
          <w:color w:val="365F91" w:themeColor="accent1" w:themeShade="BF"/>
          <w:sz w:val="20"/>
          <w:szCs w:val="20"/>
        </w:rPr>
        <w:t>Digital domain of the HtC index</w:t>
      </w:r>
      <w:r w:rsidR="00314CC0" w:rsidRPr="00C0562C">
        <w:rPr>
          <w:rFonts w:ascii="Arial" w:hAnsi="Arial" w:cs="Arial"/>
          <w:b/>
          <w:color w:val="365F91" w:themeColor="accent1" w:themeShade="BF"/>
          <w:sz w:val="20"/>
          <w:szCs w:val="20"/>
        </w:rPr>
        <w:t xml:space="preserve"> </w:t>
      </w:r>
    </w:p>
    <w:p w14:paraId="49A3D0A7" w14:textId="77777777" w:rsidR="002C0A50" w:rsidRPr="00C0562C" w:rsidRDefault="002C0A50" w:rsidP="00FA653C">
      <w:pPr>
        <w:spacing w:after="0" w:line="240" w:lineRule="auto"/>
        <w:jc w:val="both"/>
        <w:rPr>
          <w:rFonts w:ascii="Arial" w:hAnsi="Arial" w:cs="Arial"/>
          <w:sz w:val="20"/>
          <w:szCs w:val="20"/>
        </w:rPr>
      </w:pPr>
    </w:p>
    <w:p w14:paraId="3DB5DBCB" w14:textId="4BD849BF" w:rsidR="005758C5" w:rsidRDefault="00251AEF" w:rsidP="00576C1E">
      <w:pPr>
        <w:spacing w:after="0" w:line="240" w:lineRule="auto"/>
        <w:jc w:val="both"/>
        <w:rPr>
          <w:rFonts w:ascii="Arial" w:hAnsi="Arial" w:cs="Arial"/>
          <w:sz w:val="20"/>
          <w:szCs w:val="20"/>
        </w:rPr>
      </w:pPr>
      <w:r>
        <w:rPr>
          <w:rFonts w:ascii="Arial" w:hAnsi="Arial" w:cs="Arial"/>
          <w:sz w:val="20"/>
          <w:szCs w:val="20"/>
        </w:rPr>
        <w:t xml:space="preserve">A </w:t>
      </w:r>
      <w:r w:rsidR="00832D65" w:rsidRPr="00C0562C">
        <w:rPr>
          <w:rFonts w:ascii="Arial" w:hAnsi="Arial" w:cs="Arial"/>
          <w:sz w:val="20"/>
          <w:szCs w:val="20"/>
        </w:rPr>
        <w:t xml:space="preserve">‘new’ method was </w:t>
      </w:r>
      <w:r w:rsidR="00FF2822" w:rsidRPr="00C0562C">
        <w:rPr>
          <w:rFonts w:ascii="Arial" w:hAnsi="Arial" w:cs="Arial"/>
          <w:sz w:val="20"/>
          <w:szCs w:val="20"/>
        </w:rPr>
        <w:t xml:space="preserve">developed to </w:t>
      </w:r>
      <w:r w:rsidR="00CD3546" w:rsidRPr="00C0562C">
        <w:rPr>
          <w:rFonts w:ascii="Arial" w:hAnsi="Arial" w:cs="Arial"/>
          <w:sz w:val="20"/>
          <w:szCs w:val="20"/>
        </w:rPr>
        <w:t xml:space="preserve">improve the </w:t>
      </w:r>
      <w:r w:rsidR="006C5C32" w:rsidRPr="00C0562C">
        <w:rPr>
          <w:rFonts w:ascii="Arial" w:hAnsi="Arial" w:cs="Arial"/>
          <w:sz w:val="20"/>
          <w:szCs w:val="20"/>
        </w:rPr>
        <w:t>digital domain of the HtC index</w:t>
      </w:r>
      <w:r w:rsidR="00832D65" w:rsidRPr="00C0562C">
        <w:rPr>
          <w:rFonts w:ascii="Arial" w:hAnsi="Arial" w:cs="Arial"/>
          <w:sz w:val="20"/>
          <w:szCs w:val="20"/>
        </w:rPr>
        <w:t xml:space="preserve">. The </w:t>
      </w:r>
      <w:r w:rsidR="00F665A6">
        <w:rPr>
          <w:rFonts w:ascii="Arial" w:hAnsi="Arial" w:cs="Arial"/>
          <w:sz w:val="20"/>
          <w:szCs w:val="20"/>
        </w:rPr>
        <w:t>m</w:t>
      </w:r>
      <w:r w:rsidR="00832D65" w:rsidRPr="00C0562C">
        <w:rPr>
          <w:rFonts w:ascii="Arial" w:hAnsi="Arial" w:cs="Arial"/>
          <w:sz w:val="20"/>
          <w:szCs w:val="20"/>
        </w:rPr>
        <w:t>ethod consists of an area level model (LSOA) and uses the Driver and Vehicle Licensing Agency (DVLA) data on online transactions to apply for or renew a driving licence</w:t>
      </w:r>
      <w:r w:rsidR="00472239">
        <w:rPr>
          <w:rFonts w:ascii="Arial" w:hAnsi="Arial" w:cs="Arial"/>
          <w:sz w:val="20"/>
          <w:szCs w:val="20"/>
        </w:rPr>
        <w:t xml:space="preserve">. </w:t>
      </w:r>
      <w:r w:rsidR="005758C5" w:rsidRPr="00C0562C">
        <w:rPr>
          <w:rFonts w:ascii="Arial" w:hAnsi="Arial" w:cs="Arial"/>
          <w:sz w:val="20"/>
          <w:szCs w:val="20"/>
        </w:rPr>
        <w:t xml:space="preserve">The methodology used, results obtained by the new method and a comparison of them with the results obtained using the ‘previous’ method is presented in </w:t>
      </w:r>
      <w:proofErr w:type="gramStart"/>
      <w:r w:rsidR="005758C5">
        <w:rPr>
          <w:rFonts w:ascii="Arial" w:hAnsi="Arial" w:cs="Arial"/>
          <w:sz w:val="20"/>
          <w:szCs w:val="20"/>
        </w:rPr>
        <w:t>a</w:t>
      </w:r>
      <w:proofErr w:type="gramEnd"/>
      <w:r w:rsidR="005758C5">
        <w:rPr>
          <w:rFonts w:ascii="Arial" w:hAnsi="Arial" w:cs="Arial"/>
          <w:sz w:val="20"/>
          <w:szCs w:val="20"/>
        </w:rPr>
        <w:t xml:space="preserve"> </w:t>
      </w:r>
      <w:r w:rsidR="00642E33">
        <w:rPr>
          <w:rFonts w:ascii="Arial" w:hAnsi="Arial" w:cs="Arial"/>
          <w:sz w:val="20"/>
          <w:szCs w:val="20"/>
        </w:rPr>
        <w:t>EAP124.</w:t>
      </w:r>
      <w:bookmarkStart w:id="1" w:name="_GoBack"/>
      <w:bookmarkEnd w:id="1"/>
    </w:p>
    <w:p w14:paraId="04BDC454" w14:textId="77777777" w:rsidR="005758C5" w:rsidRDefault="005758C5" w:rsidP="00576C1E">
      <w:pPr>
        <w:spacing w:after="0" w:line="240" w:lineRule="auto"/>
        <w:jc w:val="both"/>
        <w:rPr>
          <w:rFonts w:ascii="Arial" w:hAnsi="Arial" w:cs="Arial"/>
          <w:sz w:val="20"/>
          <w:szCs w:val="20"/>
        </w:rPr>
      </w:pPr>
    </w:p>
    <w:p w14:paraId="450D7260" w14:textId="46AB6F21" w:rsidR="005758C5" w:rsidRDefault="00472239" w:rsidP="006D5C08">
      <w:pPr>
        <w:spacing w:after="0" w:line="240" w:lineRule="auto"/>
        <w:jc w:val="both"/>
        <w:rPr>
          <w:rFonts w:ascii="Arial" w:hAnsi="Arial" w:cs="Arial"/>
          <w:sz w:val="20"/>
          <w:szCs w:val="20"/>
        </w:rPr>
      </w:pPr>
      <w:r>
        <w:rPr>
          <w:rFonts w:ascii="Arial" w:hAnsi="Arial" w:cs="Arial"/>
          <w:sz w:val="20"/>
          <w:szCs w:val="20"/>
        </w:rPr>
        <w:lastRenderedPageBreak/>
        <w:t xml:space="preserve">The model </w:t>
      </w:r>
      <w:r w:rsidR="00832D65" w:rsidRPr="00C0562C">
        <w:rPr>
          <w:rFonts w:ascii="Arial" w:hAnsi="Arial" w:cs="Arial"/>
          <w:sz w:val="20"/>
          <w:szCs w:val="20"/>
        </w:rPr>
        <w:t>predict</w:t>
      </w:r>
      <w:r>
        <w:rPr>
          <w:rFonts w:ascii="Arial" w:hAnsi="Arial" w:cs="Arial"/>
          <w:sz w:val="20"/>
          <w:szCs w:val="20"/>
        </w:rPr>
        <w:t>s</w:t>
      </w:r>
      <w:r w:rsidR="00832D65" w:rsidRPr="00C0562C">
        <w:rPr>
          <w:rFonts w:ascii="Arial" w:hAnsi="Arial" w:cs="Arial"/>
          <w:sz w:val="20"/>
          <w:szCs w:val="20"/>
        </w:rPr>
        <w:t xml:space="preserve"> areas according to their digital ‘ability’ to </w:t>
      </w:r>
      <w:r w:rsidR="00DF0CB3">
        <w:rPr>
          <w:rFonts w:ascii="Arial" w:hAnsi="Arial" w:cs="Arial"/>
          <w:sz w:val="20"/>
          <w:szCs w:val="20"/>
        </w:rPr>
        <w:t>interact</w:t>
      </w:r>
      <w:r w:rsidR="005D3E22">
        <w:rPr>
          <w:rFonts w:ascii="Arial" w:hAnsi="Arial" w:cs="Arial"/>
          <w:sz w:val="20"/>
          <w:szCs w:val="20"/>
        </w:rPr>
        <w:t xml:space="preserve"> with a government website.</w:t>
      </w:r>
      <w:r w:rsidR="00C14976">
        <w:rPr>
          <w:rFonts w:ascii="Arial" w:hAnsi="Arial" w:cs="Arial"/>
          <w:sz w:val="20"/>
          <w:szCs w:val="20"/>
        </w:rPr>
        <w:t xml:space="preserve"> </w:t>
      </w:r>
      <w:r w:rsidR="006D5C08" w:rsidRPr="006D5C08">
        <w:rPr>
          <w:rFonts w:ascii="Arial" w:hAnsi="Arial" w:cs="Arial"/>
          <w:sz w:val="20"/>
          <w:szCs w:val="20"/>
        </w:rPr>
        <w:t xml:space="preserve">The model explained 33 per </w:t>
      </w:r>
      <w:r w:rsidR="006D5C08">
        <w:rPr>
          <w:rFonts w:ascii="Arial" w:hAnsi="Arial" w:cs="Arial"/>
          <w:sz w:val="20"/>
          <w:szCs w:val="20"/>
        </w:rPr>
        <w:t xml:space="preserve">cent of the variance (deviance) </w:t>
      </w:r>
      <w:r w:rsidR="005758C5">
        <w:rPr>
          <w:rFonts w:ascii="Arial" w:hAnsi="Arial" w:cs="Arial"/>
          <w:sz w:val="20"/>
          <w:szCs w:val="20"/>
        </w:rPr>
        <w:t xml:space="preserve">suggesting </w:t>
      </w:r>
      <w:r w:rsidR="006D5C08" w:rsidRPr="006D5C08">
        <w:rPr>
          <w:rFonts w:ascii="Arial" w:hAnsi="Arial" w:cs="Arial"/>
          <w:sz w:val="20"/>
          <w:szCs w:val="20"/>
        </w:rPr>
        <w:t>a moderate fit to predict areas digital ability.</w:t>
      </w:r>
      <w:r w:rsidR="005758C5">
        <w:rPr>
          <w:rFonts w:ascii="Arial" w:hAnsi="Arial" w:cs="Arial"/>
          <w:sz w:val="20"/>
          <w:szCs w:val="20"/>
        </w:rPr>
        <w:t xml:space="preserve"> </w:t>
      </w:r>
      <w:r w:rsidR="006D5C08">
        <w:rPr>
          <w:rFonts w:ascii="Arial" w:hAnsi="Arial" w:cs="Arial"/>
          <w:sz w:val="20"/>
          <w:szCs w:val="20"/>
        </w:rPr>
        <w:t>The predicted values given by the model are used to assign 5 categories of the HtC Digital domain.</w:t>
      </w:r>
    </w:p>
    <w:p w14:paraId="5AA28B12" w14:textId="77777777" w:rsidR="00C14976" w:rsidRDefault="00C14976" w:rsidP="006D5C08">
      <w:pPr>
        <w:spacing w:after="0" w:line="240" w:lineRule="auto"/>
        <w:jc w:val="both"/>
        <w:rPr>
          <w:rFonts w:ascii="Arial" w:hAnsi="Arial" w:cs="Arial"/>
          <w:sz w:val="20"/>
          <w:szCs w:val="20"/>
        </w:rPr>
      </w:pPr>
    </w:p>
    <w:p w14:paraId="2FE99688" w14:textId="77777777" w:rsidR="006D5C08" w:rsidRDefault="005758C5" w:rsidP="006D5C08">
      <w:pPr>
        <w:spacing w:after="0" w:line="240" w:lineRule="auto"/>
        <w:jc w:val="both"/>
        <w:rPr>
          <w:rFonts w:ascii="Arial" w:hAnsi="Arial" w:cs="Arial"/>
          <w:sz w:val="20"/>
          <w:szCs w:val="20"/>
        </w:rPr>
      </w:pPr>
      <w:r>
        <w:rPr>
          <w:rFonts w:ascii="Arial" w:hAnsi="Arial" w:cs="Arial"/>
          <w:sz w:val="20"/>
          <w:szCs w:val="20"/>
        </w:rPr>
        <w:t xml:space="preserve">At present it is the best proxy to measure people’s interaction with a government website to respond to an online census. </w:t>
      </w:r>
      <w:r w:rsidRPr="00C0562C">
        <w:rPr>
          <w:rFonts w:ascii="Arial" w:hAnsi="Arial" w:cs="Arial"/>
          <w:sz w:val="20"/>
          <w:szCs w:val="20"/>
        </w:rPr>
        <w:t xml:space="preserve"> </w:t>
      </w:r>
    </w:p>
    <w:p w14:paraId="2F40A817" w14:textId="77777777" w:rsidR="006D5C08" w:rsidRDefault="006D5C08" w:rsidP="00FA653C">
      <w:pPr>
        <w:spacing w:after="0" w:line="240" w:lineRule="auto"/>
        <w:jc w:val="both"/>
        <w:rPr>
          <w:rFonts w:ascii="Arial" w:hAnsi="Arial" w:cs="Arial"/>
          <w:sz w:val="20"/>
          <w:szCs w:val="20"/>
        </w:rPr>
      </w:pPr>
    </w:p>
    <w:p w14:paraId="5E7D352C" w14:textId="77777777" w:rsidR="0033438F" w:rsidRPr="00C0562C" w:rsidRDefault="00CD3546" w:rsidP="0033438F">
      <w:pPr>
        <w:pStyle w:val="ListParagraph"/>
        <w:numPr>
          <w:ilvl w:val="1"/>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Previous and further research work conducted t</w:t>
      </w:r>
      <w:r w:rsidR="000015ED" w:rsidRPr="00C0562C">
        <w:rPr>
          <w:rFonts w:ascii="Arial" w:hAnsi="Arial" w:cs="Arial"/>
          <w:b/>
          <w:color w:val="365F91" w:themeColor="accent1" w:themeShade="BF"/>
          <w:sz w:val="20"/>
          <w:szCs w:val="20"/>
        </w:rPr>
        <w:t xml:space="preserve">o integrate a </w:t>
      </w:r>
      <w:r w:rsidR="0033438F" w:rsidRPr="00C0562C">
        <w:rPr>
          <w:rFonts w:ascii="Arial" w:hAnsi="Arial" w:cs="Arial"/>
          <w:b/>
          <w:color w:val="365F91" w:themeColor="accent1" w:themeShade="BF"/>
          <w:sz w:val="20"/>
          <w:szCs w:val="20"/>
        </w:rPr>
        <w:t>‘digital variable’ into the Willingness domain of the HtC index</w:t>
      </w:r>
    </w:p>
    <w:p w14:paraId="046DC961" w14:textId="77777777" w:rsidR="00F915CD" w:rsidRPr="00C0562C" w:rsidRDefault="00F915CD" w:rsidP="00F915CD">
      <w:pPr>
        <w:spacing w:after="0" w:line="240" w:lineRule="auto"/>
        <w:jc w:val="both"/>
        <w:rPr>
          <w:rFonts w:ascii="Arial" w:hAnsi="Arial" w:cs="Arial"/>
          <w:sz w:val="20"/>
          <w:szCs w:val="20"/>
        </w:rPr>
      </w:pPr>
    </w:p>
    <w:p w14:paraId="02D35367" w14:textId="77777777" w:rsidR="00C622C0" w:rsidRPr="00C0562C" w:rsidRDefault="00F915CD" w:rsidP="00FA653C">
      <w:pPr>
        <w:tabs>
          <w:tab w:val="num" w:pos="360"/>
          <w:tab w:val="num" w:pos="1440"/>
        </w:tabs>
        <w:spacing w:after="0" w:line="240" w:lineRule="auto"/>
        <w:jc w:val="both"/>
        <w:rPr>
          <w:rFonts w:ascii="Arial" w:hAnsi="Arial" w:cs="Arial"/>
          <w:sz w:val="20"/>
          <w:szCs w:val="20"/>
        </w:rPr>
      </w:pPr>
      <w:r w:rsidRPr="00C0562C">
        <w:rPr>
          <w:rFonts w:ascii="Arial" w:hAnsi="Arial" w:cs="Arial"/>
          <w:sz w:val="20"/>
          <w:szCs w:val="20"/>
        </w:rPr>
        <w:t xml:space="preserve">The Willingness domain </w:t>
      </w:r>
      <w:r w:rsidR="00C622C0" w:rsidRPr="00C0562C">
        <w:rPr>
          <w:rFonts w:ascii="Arial" w:hAnsi="Arial" w:cs="Arial"/>
          <w:sz w:val="20"/>
          <w:szCs w:val="20"/>
        </w:rPr>
        <w:t>of the HtC index is</w:t>
      </w:r>
      <w:r w:rsidRPr="00C0562C">
        <w:rPr>
          <w:rFonts w:ascii="Arial" w:hAnsi="Arial" w:cs="Arial"/>
          <w:sz w:val="20"/>
          <w:szCs w:val="20"/>
        </w:rPr>
        <w:t xml:space="preserve"> constructed using an area level (Lower Super Output) model </w:t>
      </w:r>
      <w:r w:rsidR="00C622C0" w:rsidRPr="00C0562C">
        <w:rPr>
          <w:rFonts w:ascii="Arial" w:hAnsi="Arial" w:cs="Arial"/>
          <w:sz w:val="20"/>
          <w:szCs w:val="20"/>
        </w:rPr>
        <w:t xml:space="preserve">to build the </w:t>
      </w:r>
      <w:r w:rsidR="00C622C0" w:rsidRPr="00C0562C">
        <w:rPr>
          <w:rFonts w:ascii="Arial" w:hAnsi="Arial" w:cs="Arial"/>
          <w:b/>
          <w:i/>
          <w:sz w:val="20"/>
          <w:szCs w:val="20"/>
        </w:rPr>
        <w:t>parameters</w:t>
      </w:r>
      <w:r w:rsidR="00C622C0" w:rsidRPr="00C0562C">
        <w:rPr>
          <w:rFonts w:ascii="Arial" w:hAnsi="Arial" w:cs="Arial"/>
          <w:sz w:val="20"/>
          <w:szCs w:val="20"/>
        </w:rPr>
        <w:t xml:space="preserve"> to predict response/ non-response to the 2021 Census. The dependent variable </w:t>
      </w:r>
      <w:r w:rsidR="00211696">
        <w:rPr>
          <w:rFonts w:ascii="Arial" w:hAnsi="Arial" w:cs="Arial"/>
          <w:sz w:val="20"/>
          <w:szCs w:val="20"/>
        </w:rPr>
        <w:t>is</w:t>
      </w:r>
      <w:r w:rsidR="00C622C0" w:rsidRPr="00C0562C">
        <w:rPr>
          <w:rFonts w:ascii="Arial" w:hAnsi="Arial" w:cs="Arial"/>
          <w:sz w:val="20"/>
          <w:szCs w:val="20"/>
        </w:rPr>
        <w:t xml:space="preserve"> the 2011 Census day 10 non-return rates. The rationale for this </w:t>
      </w:r>
      <w:r w:rsidR="00211696">
        <w:rPr>
          <w:rFonts w:ascii="Arial" w:hAnsi="Arial" w:cs="Arial"/>
          <w:sz w:val="20"/>
          <w:szCs w:val="20"/>
        </w:rPr>
        <w:t>is</w:t>
      </w:r>
      <w:r w:rsidR="00C622C0" w:rsidRPr="00C0562C">
        <w:rPr>
          <w:rFonts w:ascii="Arial" w:hAnsi="Arial" w:cs="Arial"/>
          <w:sz w:val="20"/>
          <w:szCs w:val="20"/>
        </w:rPr>
        <w:t xml:space="preserve"> that field follow up started at day 10 after the census</w:t>
      </w:r>
      <w:r w:rsidR="003B69F2" w:rsidRPr="00C0562C">
        <w:rPr>
          <w:rFonts w:ascii="Arial" w:hAnsi="Arial" w:cs="Arial"/>
          <w:sz w:val="20"/>
          <w:szCs w:val="20"/>
        </w:rPr>
        <w:t xml:space="preserve"> day</w:t>
      </w:r>
      <w:r w:rsidR="00C622C0" w:rsidRPr="00C0562C">
        <w:rPr>
          <w:rFonts w:ascii="Arial" w:hAnsi="Arial" w:cs="Arial"/>
          <w:sz w:val="20"/>
          <w:szCs w:val="20"/>
        </w:rPr>
        <w:t xml:space="preserve">. Returns before that they </w:t>
      </w:r>
      <w:r w:rsidR="00211696">
        <w:rPr>
          <w:rFonts w:ascii="Arial" w:hAnsi="Arial" w:cs="Arial"/>
          <w:sz w:val="20"/>
          <w:szCs w:val="20"/>
        </w:rPr>
        <w:t>were</w:t>
      </w:r>
      <w:r w:rsidR="00C622C0" w:rsidRPr="00C0562C">
        <w:rPr>
          <w:rFonts w:ascii="Arial" w:hAnsi="Arial" w:cs="Arial"/>
          <w:sz w:val="20"/>
          <w:szCs w:val="20"/>
        </w:rPr>
        <w:t xml:space="preserve"> </w:t>
      </w:r>
      <w:r w:rsidR="00CC41F6" w:rsidRPr="00C0562C">
        <w:rPr>
          <w:rFonts w:ascii="Arial" w:hAnsi="Arial" w:cs="Arial"/>
          <w:sz w:val="20"/>
          <w:szCs w:val="20"/>
        </w:rPr>
        <w:t xml:space="preserve">therefore </w:t>
      </w:r>
      <w:r w:rsidR="00C622C0" w:rsidRPr="00C0562C">
        <w:rPr>
          <w:rFonts w:ascii="Arial" w:hAnsi="Arial" w:cs="Arial"/>
          <w:sz w:val="20"/>
          <w:szCs w:val="20"/>
        </w:rPr>
        <w:t xml:space="preserve">self-motivated. </w:t>
      </w:r>
      <w:r w:rsidRPr="00C0562C">
        <w:rPr>
          <w:rFonts w:ascii="Arial" w:hAnsi="Arial" w:cs="Arial"/>
          <w:sz w:val="20"/>
          <w:szCs w:val="20"/>
        </w:rPr>
        <w:t xml:space="preserve">The covariates used to build the model parameters are from </w:t>
      </w:r>
      <w:r w:rsidR="003B69F2" w:rsidRPr="00C0562C">
        <w:rPr>
          <w:rFonts w:ascii="Arial" w:hAnsi="Arial" w:cs="Arial"/>
          <w:sz w:val="20"/>
          <w:szCs w:val="20"/>
        </w:rPr>
        <w:t xml:space="preserve">2011 Census </w:t>
      </w:r>
      <w:r w:rsidRPr="00C0562C">
        <w:rPr>
          <w:rFonts w:ascii="Arial" w:hAnsi="Arial" w:cs="Arial"/>
          <w:sz w:val="20"/>
          <w:szCs w:val="20"/>
        </w:rPr>
        <w:t xml:space="preserve">and updateable administrative data sources. </w:t>
      </w:r>
      <w:r w:rsidR="00C622C0" w:rsidRPr="00C0562C">
        <w:rPr>
          <w:rFonts w:ascii="Arial" w:hAnsi="Arial" w:cs="Arial"/>
          <w:sz w:val="20"/>
          <w:szCs w:val="20"/>
        </w:rPr>
        <w:t xml:space="preserve">The parameters of the model are applied to </w:t>
      </w:r>
      <w:r w:rsidR="003B69F2" w:rsidRPr="00C0562C">
        <w:rPr>
          <w:rFonts w:ascii="Arial" w:hAnsi="Arial" w:cs="Arial"/>
          <w:sz w:val="20"/>
          <w:szCs w:val="20"/>
        </w:rPr>
        <w:t>up-to-date</w:t>
      </w:r>
      <w:r w:rsidR="00C622C0" w:rsidRPr="00C0562C">
        <w:rPr>
          <w:rFonts w:ascii="Arial" w:hAnsi="Arial" w:cs="Arial"/>
          <w:sz w:val="20"/>
          <w:szCs w:val="20"/>
        </w:rPr>
        <w:t xml:space="preserve"> administrative data. The key assumption in the model is that the structural relationship between the 2011 Census day 10 non-return rate propensity and the key factors</w:t>
      </w:r>
      <w:r w:rsidR="003B69F2" w:rsidRPr="00C0562C">
        <w:rPr>
          <w:rFonts w:ascii="Arial" w:hAnsi="Arial" w:cs="Arial"/>
          <w:sz w:val="20"/>
          <w:szCs w:val="20"/>
        </w:rPr>
        <w:t xml:space="preserve"> </w:t>
      </w:r>
      <w:r w:rsidR="00C622C0" w:rsidRPr="00C0562C">
        <w:rPr>
          <w:rFonts w:ascii="Arial" w:hAnsi="Arial" w:cs="Arial"/>
          <w:sz w:val="20"/>
          <w:szCs w:val="20"/>
        </w:rPr>
        <w:t>remain constant between the 2011 and 2021 censuses despite the change in the mode of collection in the 2021 Census</w:t>
      </w:r>
      <w:r w:rsidR="008030BA">
        <w:rPr>
          <w:rFonts w:ascii="Arial" w:hAnsi="Arial" w:cs="Arial"/>
          <w:sz w:val="20"/>
          <w:szCs w:val="20"/>
        </w:rPr>
        <w:t xml:space="preserve">. </w:t>
      </w:r>
    </w:p>
    <w:p w14:paraId="00333CA3" w14:textId="77777777" w:rsidR="00C622C0" w:rsidRPr="00C0562C" w:rsidRDefault="00C622C0" w:rsidP="00FA653C">
      <w:pPr>
        <w:spacing w:after="0" w:line="240" w:lineRule="auto"/>
        <w:jc w:val="both"/>
        <w:rPr>
          <w:rFonts w:ascii="Arial" w:hAnsi="Arial" w:cs="Arial"/>
          <w:sz w:val="20"/>
          <w:szCs w:val="20"/>
        </w:rPr>
      </w:pPr>
    </w:p>
    <w:p w14:paraId="48A9DEC2" w14:textId="77777777" w:rsidR="00C622C0" w:rsidRPr="00C0562C" w:rsidRDefault="00C622C0" w:rsidP="00FA653C">
      <w:pPr>
        <w:spacing w:after="0" w:line="240" w:lineRule="auto"/>
        <w:jc w:val="both"/>
        <w:rPr>
          <w:rFonts w:ascii="Arial" w:hAnsi="Arial" w:cs="Arial"/>
          <w:sz w:val="20"/>
          <w:szCs w:val="20"/>
        </w:rPr>
      </w:pPr>
      <w:r w:rsidRPr="00C0562C">
        <w:rPr>
          <w:rFonts w:ascii="Arial" w:hAnsi="Arial" w:cs="Arial"/>
          <w:sz w:val="20"/>
          <w:szCs w:val="20"/>
        </w:rPr>
        <w:t xml:space="preserve">We are aware that the ‘Willingness’ domain of the HtC index does not fully capture ‘digital willingness’ but willingness to respond to a primarily paper-based census.  </w:t>
      </w:r>
    </w:p>
    <w:p w14:paraId="37D38307" w14:textId="77777777" w:rsidR="003B69F2" w:rsidRPr="00C0562C" w:rsidRDefault="003B69F2" w:rsidP="00FA653C">
      <w:pPr>
        <w:spacing w:after="0" w:line="240" w:lineRule="auto"/>
        <w:jc w:val="both"/>
        <w:rPr>
          <w:rFonts w:ascii="Arial" w:hAnsi="Arial" w:cs="Arial"/>
          <w:sz w:val="20"/>
          <w:szCs w:val="20"/>
        </w:rPr>
      </w:pPr>
    </w:p>
    <w:p w14:paraId="485662DB" w14:textId="77777777" w:rsidR="004B154F" w:rsidRPr="00C0562C" w:rsidRDefault="000E1705" w:rsidP="00FA653C">
      <w:pPr>
        <w:spacing w:after="0" w:line="240" w:lineRule="auto"/>
        <w:jc w:val="both"/>
        <w:rPr>
          <w:rFonts w:ascii="Arial" w:hAnsi="Arial" w:cs="Arial"/>
          <w:sz w:val="20"/>
          <w:szCs w:val="20"/>
        </w:rPr>
      </w:pPr>
      <w:r w:rsidRPr="00C0562C">
        <w:rPr>
          <w:rFonts w:ascii="Arial" w:hAnsi="Arial" w:cs="Arial"/>
          <w:sz w:val="20"/>
          <w:szCs w:val="20"/>
        </w:rPr>
        <w:t>W</w:t>
      </w:r>
      <w:r w:rsidR="003C659F" w:rsidRPr="00C0562C">
        <w:rPr>
          <w:rFonts w:ascii="Arial" w:hAnsi="Arial" w:cs="Arial"/>
          <w:sz w:val="20"/>
          <w:szCs w:val="20"/>
        </w:rPr>
        <w:t xml:space="preserve">e </w:t>
      </w:r>
      <w:r w:rsidR="00C622C0" w:rsidRPr="00C0562C">
        <w:rPr>
          <w:rFonts w:ascii="Arial" w:hAnsi="Arial" w:cs="Arial"/>
          <w:sz w:val="20"/>
          <w:szCs w:val="20"/>
        </w:rPr>
        <w:t xml:space="preserve">have </w:t>
      </w:r>
      <w:r w:rsidRPr="00C0562C">
        <w:rPr>
          <w:rFonts w:ascii="Arial" w:hAnsi="Arial" w:cs="Arial"/>
          <w:sz w:val="20"/>
          <w:szCs w:val="20"/>
        </w:rPr>
        <w:t xml:space="preserve">considered using the </w:t>
      </w:r>
      <w:r w:rsidR="003C659F" w:rsidRPr="00C0562C">
        <w:rPr>
          <w:rFonts w:ascii="Arial" w:hAnsi="Arial" w:cs="Arial"/>
          <w:sz w:val="20"/>
          <w:szCs w:val="20"/>
        </w:rPr>
        <w:t>2011 Census online returns</w:t>
      </w:r>
      <w:r w:rsidR="00323447" w:rsidRPr="00C0562C">
        <w:rPr>
          <w:rFonts w:ascii="Arial" w:hAnsi="Arial" w:cs="Arial"/>
          <w:sz w:val="20"/>
          <w:szCs w:val="20"/>
        </w:rPr>
        <w:t xml:space="preserve"> (16% of the households) </w:t>
      </w:r>
      <w:r w:rsidRPr="00C0562C">
        <w:rPr>
          <w:rFonts w:ascii="Arial" w:hAnsi="Arial" w:cs="Arial"/>
          <w:sz w:val="20"/>
          <w:szCs w:val="20"/>
        </w:rPr>
        <w:t xml:space="preserve">as </w:t>
      </w:r>
      <w:r w:rsidR="00C934F3" w:rsidRPr="00C0562C">
        <w:rPr>
          <w:rFonts w:ascii="Arial" w:hAnsi="Arial" w:cs="Arial"/>
          <w:sz w:val="20"/>
          <w:szCs w:val="20"/>
        </w:rPr>
        <w:t xml:space="preserve">the dependent variable to </w:t>
      </w:r>
      <w:r w:rsidR="00015E4D" w:rsidRPr="00C0562C">
        <w:rPr>
          <w:rFonts w:ascii="Arial" w:hAnsi="Arial" w:cs="Arial"/>
          <w:sz w:val="20"/>
          <w:szCs w:val="20"/>
        </w:rPr>
        <w:t xml:space="preserve">model </w:t>
      </w:r>
      <w:r w:rsidR="00C934F3" w:rsidRPr="00C0562C">
        <w:rPr>
          <w:rFonts w:ascii="Arial" w:hAnsi="Arial" w:cs="Arial"/>
          <w:sz w:val="20"/>
          <w:szCs w:val="20"/>
        </w:rPr>
        <w:t>‘Willingness’ to respond to a census</w:t>
      </w:r>
      <w:r w:rsidR="00015E4D" w:rsidRPr="00C0562C">
        <w:rPr>
          <w:rFonts w:ascii="Arial" w:hAnsi="Arial" w:cs="Arial"/>
          <w:sz w:val="20"/>
          <w:szCs w:val="20"/>
        </w:rPr>
        <w:t>.</w:t>
      </w:r>
      <w:r w:rsidR="00C934F3" w:rsidRPr="00C0562C">
        <w:rPr>
          <w:rFonts w:ascii="Arial" w:hAnsi="Arial" w:cs="Arial"/>
          <w:sz w:val="20"/>
          <w:szCs w:val="20"/>
        </w:rPr>
        <w:t xml:space="preserve"> </w:t>
      </w:r>
      <w:r w:rsidR="008A2E9B" w:rsidRPr="00C0562C">
        <w:rPr>
          <w:rFonts w:ascii="Arial" w:hAnsi="Arial" w:cs="Arial"/>
          <w:sz w:val="20"/>
          <w:szCs w:val="20"/>
        </w:rPr>
        <w:t xml:space="preserve">In the 2011 Census the online mode of response was optional. </w:t>
      </w:r>
      <w:r w:rsidR="00F61837" w:rsidRPr="00C0562C">
        <w:rPr>
          <w:rFonts w:ascii="Arial" w:hAnsi="Arial" w:cs="Arial"/>
          <w:sz w:val="20"/>
          <w:szCs w:val="20"/>
        </w:rPr>
        <w:t>Therefore, o</w:t>
      </w:r>
      <w:r w:rsidR="00C934F3" w:rsidRPr="00C0562C">
        <w:rPr>
          <w:rFonts w:ascii="Arial" w:hAnsi="Arial" w:cs="Arial"/>
          <w:sz w:val="20"/>
          <w:szCs w:val="20"/>
        </w:rPr>
        <w:t xml:space="preserve">nline returns from the past census </w:t>
      </w:r>
      <w:r w:rsidR="003B69F2" w:rsidRPr="00C0562C">
        <w:rPr>
          <w:rFonts w:ascii="Arial" w:hAnsi="Arial" w:cs="Arial"/>
          <w:sz w:val="20"/>
          <w:szCs w:val="20"/>
        </w:rPr>
        <w:t>were</w:t>
      </w:r>
      <w:r w:rsidR="00C934F3" w:rsidRPr="00C0562C">
        <w:rPr>
          <w:rFonts w:ascii="Arial" w:hAnsi="Arial" w:cs="Arial"/>
          <w:sz w:val="20"/>
          <w:szCs w:val="20"/>
        </w:rPr>
        <w:t xml:space="preserve"> not represent</w:t>
      </w:r>
      <w:r w:rsidR="003C4BA5" w:rsidRPr="00C0562C">
        <w:rPr>
          <w:rFonts w:ascii="Arial" w:hAnsi="Arial" w:cs="Arial"/>
          <w:sz w:val="20"/>
          <w:szCs w:val="20"/>
        </w:rPr>
        <w:t>ative of the whole population in England and Wales</w:t>
      </w:r>
      <w:r w:rsidR="008A2E9B" w:rsidRPr="00C0562C">
        <w:rPr>
          <w:rFonts w:ascii="Arial" w:hAnsi="Arial" w:cs="Arial"/>
          <w:sz w:val="20"/>
          <w:szCs w:val="20"/>
        </w:rPr>
        <w:t xml:space="preserve"> and the data is likely to be biased towards the households most willing to do so. </w:t>
      </w:r>
    </w:p>
    <w:p w14:paraId="351B580E" w14:textId="77777777" w:rsidR="004B154F" w:rsidRPr="00C0562C" w:rsidRDefault="004B154F" w:rsidP="00FA653C">
      <w:pPr>
        <w:spacing w:after="0" w:line="240" w:lineRule="auto"/>
        <w:jc w:val="both"/>
        <w:rPr>
          <w:rFonts w:ascii="Arial" w:hAnsi="Arial" w:cs="Arial"/>
          <w:sz w:val="20"/>
          <w:szCs w:val="20"/>
        </w:rPr>
      </w:pPr>
    </w:p>
    <w:p w14:paraId="750DEB85" w14:textId="77777777" w:rsidR="002F7166" w:rsidRPr="00C0562C" w:rsidRDefault="00066753" w:rsidP="00FA653C">
      <w:pPr>
        <w:spacing w:after="0" w:line="240" w:lineRule="auto"/>
        <w:jc w:val="both"/>
        <w:rPr>
          <w:rFonts w:ascii="Arial" w:hAnsi="Arial" w:cs="Arial"/>
          <w:sz w:val="20"/>
          <w:szCs w:val="20"/>
        </w:rPr>
      </w:pPr>
      <w:r w:rsidRPr="00C0562C">
        <w:rPr>
          <w:rFonts w:ascii="Arial" w:hAnsi="Arial" w:cs="Arial"/>
          <w:sz w:val="20"/>
          <w:szCs w:val="20"/>
        </w:rPr>
        <w:t>The</w:t>
      </w:r>
      <w:r w:rsidR="003C4BA5" w:rsidRPr="00C0562C">
        <w:rPr>
          <w:rFonts w:ascii="Arial" w:hAnsi="Arial" w:cs="Arial"/>
          <w:sz w:val="20"/>
          <w:szCs w:val="20"/>
        </w:rPr>
        <w:t xml:space="preserve"> decision was </w:t>
      </w:r>
      <w:r w:rsidRPr="00C0562C">
        <w:rPr>
          <w:rFonts w:ascii="Arial" w:hAnsi="Arial" w:cs="Arial"/>
          <w:sz w:val="20"/>
          <w:szCs w:val="20"/>
        </w:rPr>
        <w:t xml:space="preserve">then </w:t>
      </w:r>
      <w:r w:rsidR="003C4BA5" w:rsidRPr="00C0562C">
        <w:rPr>
          <w:rFonts w:ascii="Arial" w:hAnsi="Arial" w:cs="Arial"/>
          <w:sz w:val="20"/>
          <w:szCs w:val="20"/>
        </w:rPr>
        <w:t xml:space="preserve">to use </w:t>
      </w:r>
      <w:r w:rsidR="000E1705" w:rsidRPr="00C0562C">
        <w:rPr>
          <w:rFonts w:ascii="Arial" w:hAnsi="Arial" w:cs="Arial"/>
          <w:sz w:val="20"/>
          <w:szCs w:val="20"/>
        </w:rPr>
        <w:t>all</w:t>
      </w:r>
      <w:r w:rsidR="003B69F2" w:rsidRPr="00C0562C">
        <w:rPr>
          <w:rFonts w:ascii="Arial" w:hAnsi="Arial" w:cs="Arial"/>
          <w:sz w:val="20"/>
          <w:szCs w:val="20"/>
        </w:rPr>
        <w:t xml:space="preserve"> up to day 10</w:t>
      </w:r>
      <w:r w:rsidR="000E1705" w:rsidRPr="00C0562C">
        <w:rPr>
          <w:rFonts w:ascii="Arial" w:hAnsi="Arial" w:cs="Arial"/>
          <w:sz w:val="20"/>
          <w:szCs w:val="20"/>
        </w:rPr>
        <w:t xml:space="preserve"> returns (paper and online) </w:t>
      </w:r>
      <w:r w:rsidR="00647F82">
        <w:rPr>
          <w:rFonts w:ascii="Arial" w:hAnsi="Arial" w:cs="Arial"/>
          <w:sz w:val="20"/>
          <w:szCs w:val="20"/>
        </w:rPr>
        <w:t xml:space="preserve">as the dependent variable </w:t>
      </w:r>
      <w:r w:rsidR="003C4BA5" w:rsidRPr="00C0562C">
        <w:rPr>
          <w:rFonts w:ascii="Arial" w:hAnsi="Arial" w:cs="Arial"/>
          <w:sz w:val="20"/>
          <w:szCs w:val="20"/>
        </w:rPr>
        <w:t xml:space="preserve">to </w:t>
      </w:r>
      <w:r w:rsidR="00800119">
        <w:rPr>
          <w:rFonts w:ascii="Arial" w:hAnsi="Arial" w:cs="Arial"/>
          <w:sz w:val="20"/>
          <w:szCs w:val="20"/>
        </w:rPr>
        <w:t xml:space="preserve">model </w:t>
      </w:r>
      <w:r w:rsidR="003C4BA5" w:rsidRPr="00C0562C">
        <w:rPr>
          <w:rFonts w:ascii="Arial" w:hAnsi="Arial" w:cs="Arial"/>
          <w:sz w:val="20"/>
          <w:szCs w:val="20"/>
        </w:rPr>
        <w:t xml:space="preserve">‘Willingness’ </w:t>
      </w:r>
      <w:r w:rsidR="00647F82">
        <w:rPr>
          <w:rFonts w:ascii="Arial" w:hAnsi="Arial" w:cs="Arial"/>
          <w:sz w:val="20"/>
          <w:szCs w:val="20"/>
        </w:rPr>
        <w:t xml:space="preserve">to respond a census. </w:t>
      </w:r>
      <w:r w:rsidR="00F47C88" w:rsidRPr="00C0562C">
        <w:rPr>
          <w:rFonts w:ascii="Arial" w:hAnsi="Arial" w:cs="Arial"/>
          <w:sz w:val="20"/>
          <w:szCs w:val="20"/>
        </w:rPr>
        <w:t xml:space="preserve">Despite </w:t>
      </w:r>
      <w:r w:rsidR="00E419E9" w:rsidRPr="00C0562C">
        <w:rPr>
          <w:rFonts w:ascii="Arial" w:hAnsi="Arial" w:cs="Arial"/>
          <w:sz w:val="20"/>
          <w:szCs w:val="20"/>
        </w:rPr>
        <w:t xml:space="preserve">the ‘Willingness’ domain </w:t>
      </w:r>
      <w:r w:rsidR="00F46FC4">
        <w:rPr>
          <w:rFonts w:ascii="Arial" w:hAnsi="Arial" w:cs="Arial"/>
          <w:sz w:val="20"/>
          <w:szCs w:val="20"/>
        </w:rPr>
        <w:t xml:space="preserve">of the HtC index </w:t>
      </w:r>
      <w:r w:rsidR="00F47C88" w:rsidRPr="00C0562C">
        <w:rPr>
          <w:rFonts w:ascii="Arial" w:hAnsi="Arial" w:cs="Arial"/>
          <w:sz w:val="20"/>
          <w:szCs w:val="20"/>
        </w:rPr>
        <w:t xml:space="preserve">being </w:t>
      </w:r>
      <w:r w:rsidR="00E419E9" w:rsidRPr="00C0562C">
        <w:rPr>
          <w:rFonts w:ascii="Arial" w:hAnsi="Arial" w:cs="Arial"/>
          <w:sz w:val="20"/>
          <w:szCs w:val="20"/>
        </w:rPr>
        <w:t xml:space="preserve">built using </w:t>
      </w:r>
      <w:r w:rsidR="00F47C88" w:rsidRPr="00C0562C">
        <w:rPr>
          <w:rFonts w:ascii="Arial" w:hAnsi="Arial" w:cs="Arial"/>
          <w:sz w:val="20"/>
          <w:szCs w:val="20"/>
        </w:rPr>
        <w:t>a conservative approach</w:t>
      </w:r>
      <w:r w:rsidR="00464CA1" w:rsidRPr="00C0562C">
        <w:rPr>
          <w:rFonts w:ascii="Arial" w:hAnsi="Arial" w:cs="Arial"/>
          <w:sz w:val="20"/>
          <w:szCs w:val="20"/>
        </w:rPr>
        <w:t>,</w:t>
      </w:r>
      <w:r w:rsidR="00F47C88" w:rsidRPr="00C0562C">
        <w:rPr>
          <w:rFonts w:ascii="Arial" w:hAnsi="Arial" w:cs="Arial"/>
          <w:sz w:val="20"/>
          <w:szCs w:val="20"/>
        </w:rPr>
        <w:t xml:space="preserve"> the model is robust and based on </w:t>
      </w:r>
      <w:r w:rsidR="00630137" w:rsidRPr="00C0562C">
        <w:rPr>
          <w:rFonts w:ascii="Arial" w:hAnsi="Arial" w:cs="Arial"/>
          <w:sz w:val="20"/>
          <w:szCs w:val="20"/>
        </w:rPr>
        <w:t xml:space="preserve">strong </w:t>
      </w:r>
      <w:r w:rsidR="00F47C88" w:rsidRPr="00C0562C">
        <w:rPr>
          <w:rFonts w:ascii="Arial" w:hAnsi="Arial" w:cs="Arial"/>
          <w:sz w:val="20"/>
          <w:szCs w:val="20"/>
        </w:rPr>
        <w:t xml:space="preserve">evidence </w:t>
      </w:r>
      <w:r w:rsidR="00404AAC" w:rsidRPr="00C0562C">
        <w:rPr>
          <w:rFonts w:ascii="Arial" w:hAnsi="Arial" w:cs="Arial"/>
          <w:sz w:val="20"/>
          <w:szCs w:val="20"/>
        </w:rPr>
        <w:t>from</w:t>
      </w:r>
      <w:r w:rsidR="00F47C88" w:rsidRPr="00C0562C">
        <w:rPr>
          <w:rFonts w:ascii="Arial" w:hAnsi="Arial" w:cs="Arial"/>
          <w:sz w:val="20"/>
          <w:szCs w:val="20"/>
        </w:rPr>
        <w:t xml:space="preserve"> </w:t>
      </w:r>
      <w:r w:rsidR="00630137" w:rsidRPr="00C0562C">
        <w:rPr>
          <w:rFonts w:ascii="Arial" w:hAnsi="Arial" w:cs="Arial"/>
          <w:sz w:val="20"/>
          <w:szCs w:val="20"/>
        </w:rPr>
        <w:t xml:space="preserve">characteristics of household/people likely respond to </w:t>
      </w:r>
      <w:r w:rsidR="00F47C88" w:rsidRPr="00C0562C">
        <w:rPr>
          <w:rFonts w:ascii="Arial" w:hAnsi="Arial" w:cs="Arial"/>
          <w:sz w:val="20"/>
          <w:szCs w:val="20"/>
        </w:rPr>
        <w:t xml:space="preserve">past censuses and surveys. </w:t>
      </w:r>
      <w:r w:rsidR="000C5831" w:rsidRPr="00C0562C">
        <w:rPr>
          <w:rFonts w:ascii="Arial" w:hAnsi="Arial" w:cs="Arial"/>
          <w:sz w:val="20"/>
          <w:szCs w:val="20"/>
        </w:rPr>
        <w:t xml:space="preserve">Our main assumption is that people who are willing to respond to a census will respond to it whatever </w:t>
      </w:r>
      <w:r w:rsidR="00E1191D">
        <w:rPr>
          <w:rFonts w:ascii="Arial" w:hAnsi="Arial" w:cs="Arial"/>
          <w:sz w:val="20"/>
          <w:szCs w:val="20"/>
        </w:rPr>
        <w:t xml:space="preserve">the mode of response. </w:t>
      </w:r>
      <w:r w:rsidR="000873F1" w:rsidRPr="00C0562C">
        <w:rPr>
          <w:rFonts w:ascii="Arial" w:hAnsi="Arial" w:cs="Arial"/>
          <w:sz w:val="20"/>
          <w:szCs w:val="20"/>
        </w:rPr>
        <w:t>And</w:t>
      </w:r>
      <w:r w:rsidR="000C5831" w:rsidRPr="00C0562C">
        <w:rPr>
          <w:rFonts w:ascii="Arial" w:hAnsi="Arial" w:cs="Arial"/>
          <w:sz w:val="20"/>
          <w:szCs w:val="20"/>
        </w:rPr>
        <w:t xml:space="preserve"> the planning for the census </w:t>
      </w:r>
      <w:r w:rsidR="000873F1" w:rsidRPr="00C0562C">
        <w:rPr>
          <w:rFonts w:ascii="Arial" w:hAnsi="Arial" w:cs="Arial"/>
          <w:sz w:val="20"/>
          <w:szCs w:val="20"/>
        </w:rPr>
        <w:t xml:space="preserve">is being made to incorporate </w:t>
      </w:r>
      <w:r w:rsidR="000C5831" w:rsidRPr="00C0562C">
        <w:rPr>
          <w:rFonts w:ascii="Arial" w:hAnsi="Arial" w:cs="Arial"/>
          <w:sz w:val="20"/>
          <w:szCs w:val="20"/>
        </w:rPr>
        <w:t xml:space="preserve">several options for those households/people who are not able to respond to an online census. Section </w:t>
      </w:r>
      <w:r w:rsidR="00B361D2">
        <w:rPr>
          <w:rFonts w:ascii="Arial" w:hAnsi="Arial" w:cs="Arial"/>
          <w:sz w:val="20"/>
          <w:szCs w:val="20"/>
        </w:rPr>
        <w:t>3.2</w:t>
      </w:r>
      <w:r w:rsidR="000C5831" w:rsidRPr="00C0562C">
        <w:rPr>
          <w:rFonts w:ascii="Arial" w:hAnsi="Arial" w:cs="Arial"/>
          <w:sz w:val="20"/>
          <w:szCs w:val="20"/>
        </w:rPr>
        <w:t xml:space="preserve"> of this paper provides more information </w:t>
      </w:r>
      <w:r w:rsidR="000873F1" w:rsidRPr="00C0562C">
        <w:rPr>
          <w:rFonts w:ascii="Arial" w:hAnsi="Arial" w:cs="Arial"/>
          <w:sz w:val="20"/>
          <w:szCs w:val="20"/>
        </w:rPr>
        <w:t>on how this issue has</w:t>
      </w:r>
      <w:r w:rsidR="000C5831" w:rsidRPr="00C0562C">
        <w:rPr>
          <w:rFonts w:ascii="Arial" w:hAnsi="Arial" w:cs="Arial"/>
          <w:sz w:val="20"/>
          <w:szCs w:val="20"/>
        </w:rPr>
        <w:t xml:space="preserve"> been addressed by ONS.</w:t>
      </w:r>
    </w:p>
    <w:p w14:paraId="321156BC" w14:textId="77777777" w:rsidR="00A12B40" w:rsidRPr="00C0562C" w:rsidRDefault="00A12B40" w:rsidP="00FA653C">
      <w:pPr>
        <w:spacing w:after="0" w:line="240" w:lineRule="auto"/>
        <w:jc w:val="both"/>
        <w:rPr>
          <w:rFonts w:ascii="Arial" w:hAnsi="Arial" w:cs="Arial"/>
          <w:sz w:val="20"/>
          <w:szCs w:val="20"/>
        </w:rPr>
      </w:pPr>
    </w:p>
    <w:p w14:paraId="5E39493B" w14:textId="77777777" w:rsidR="00765380" w:rsidRDefault="003C2A8F" w:rsidP="00FA653C">
      <w:pPr>
        <w:spacing w:after="0" w:line="240" w:lineRule="auto"/>
        <w:jc w:val="both"/>
        <w:rPr>
          <w:rFonts w:ascii="Arial" w:hAnsi="Arial" w:cs="Arial"/>
          <w:sz w:val="20"/>
          <w:szCs w:val="20"/>
        </w:rPr>
      </w:pPr>
      <w:r w:rsidRPr="00C0562C">
        <w:rPr>
          <w:rFonts w:ascii="Arial" w:hAnsi="Arial" w:cs="Arial"/>
          <w:sz w:val="20"/>
          <w:szCs w:val="20"/>
        </w:rPr>
        <w:t>Before starting the development of the methodology</w:t>
      </w:r>
      <w:r w:rsidR="003A783E">
        <w:rPr>
          <w:rFonts w:ascii="Arial" w:hAnsi="Arial" w:cs="Arial"/>
          <w:sz w:val="20"/>
          <w:szCs w:val="20"/>
        </w:rPr>
        <w:t xml:space="preserve"> for the Willingness domain of the HtC</w:t>
      </w:r>
      <w:r w:rsidR="005C1DCA" w:rsidRPr="00C0562C">
        <w:rPr>
          <w:rFonts w:ascii="Arial" w:hAnsi="Arial" w:cs="Arial"/>
          <w:sz w:val="20"/>
          <w:szCs w:val="20"/>
        </w:rPr>
        <w:t>,</w:t>
      </w:r>
      <w:r w:rsidRPr="00C0562C">
        <w:rPr>
          <w:rFonts w:ascii="Arial" w:hAnsi="Arial" w:cs="Arial"/>
          <w:sz w:val="20"/>
          <w:szCs w:val="20"/>
        </w:rPr>
        <w:t xml:space="preserve"> w</w:t>
      </w:r>
      <w:r w:rsidR="003C4BA5" w:rsidRPr="00C0562C">
        <w:rPr>
          <w:rFonts w:ascii="Arial" w:hAnsi="Arial" w:cs="Arial"/>
          <w:sz w:val="20"/>
          <w:szCs w:val="20"/>
        </w:rPr>
        <w:t xml:space="preserve">e </w:t>
      </w:r>
      <w:r w:rsidR="002F7166" w:rsidRPr="00C0562C">
        <w:rPr>
          <w:rFonts w:ascii="Arial" w:hAnsi="Arial" w:cs="Arial"/>
          <w:sz w:val="20"/>
          <w:szCs w:val="20"/>
        </w:rPr>
        <w:t>u</w:t>
      </w:r>
      <w:r w:rsidR="00765380" w:rsidRPr="00C0562C">
        <w:rPr>
          <w:rFonts w:ascii="Arial" w:hAnsi="Arial" w:cs="Arial"/>
          <w:sz w:val="20"/>
          <w:szCs w:val="20"/>
        </w:rPr>
        <w:t xml:space="preserve">ndertook extensive literature review of surveys that collect information on peoples’ use of </w:t>
      </w:r>
      <w:r w:rsidR="002F7166" w:rsidRPr="00C0562C">
        <w:rPr>
          <w:rFonts w:ascii="Arial" w:hAnsi="Arial" w:cs="Arial"/>
          <w:sz w:val="20"/>
          <w:szCs w:val="20"/>
        </w:rPr>
        <w:t xml:space="preserve">the </w:t>
      </w:r>
      <w:r w:rsidR="00765380" w:rsidRPr="00C0562C">
        <w:rPr>
          <w:rFonts w:ascii="Arial" w:hAnsi="Arial" w:cs="Arial"/>
          <w:sz w:val="20"/>
          <w:szCs w:val="20"/>
        </w:rPr>
        <w:t xml:space="preserve">internet </w:t>
      </w:r>
      <w:r w:rsidR="00DB7C1E" w:rsidRPr="00C0562C">
        <w:rPr>
          <w:rFonts w:ascii="Arial" w:hAnsi="Arial" w:cs="Arial"/>
          <w:sz w:val="20"/>
          <w:szCs w:val="20"/>
        </w:rPr>
        <w:t>as</w:t>
      </w:r>
      <w:r w:rsidR="002871FE" w:rsidRPr="00C0562C">
        <w:rPr>
          <w:rFonts w:ascii="Arial" w:hAnsi="Arial" w:cs="Arial"/>
          <w:sz w:val="20"/>
          <w:szCs w:val="20"/>
        </w:rPr>
        <w:t xml:space="preserve"> </w:t>
      </w:r>
      <w:r w:rsidR="00AE0D53" w:rsidRPr="00C0562C">
        <w:rPr>
          <w:rFonts w:ascii="Arial" w:hAnsi="Arial" w:cs="Arial"/>
          <w:sz w:val="20"/>
          <w:szCs w:val="20"/>
        </w:rPr>
        <w:t>an</w:t>
      </w:r>
      <w:r w:rsidR="00DB7C1E" w:rsidRPr="00C0562C">
        <w:rPr>
          <w:rFonts w:ascii="Arial" w:hAnsi="Arial" w:cs="Arial"/>
          <w:sz w:val="20"/>
          <w:szCs w:val="20"/>
        </w:rPr>
        <w:t xml:space="preserve"> </w:t>
      </w:r>
      <w:r w:rsidR="00AE0D53" w:rsidRPr="00C0562C">
        <w:rPr>
          <w:rFonts w:ascii="Arial" w:hAnsi="Arial" w:cs="Arial"/>
          <w:sz w:val="20"/>
          <w:szCs w:val="20"/>
        </w:rPr>
        <w:t>attempt to build a ‘combined</w:t>
      </w:r>
      <w:r w:rsidR="003D1904" w:rsidRPr="00C0562C">
        <w:rPr>
          <w:rFonts w:ascii="Arial" w:hAnsi="Arial" w:cs="Arial"/>
          <w:sz w:val="20"/>
          <w:szCs w:val="20"/>
        </w:rPr>
        <w:t>’</w:t>
      </w:r>
      <w:r w:rsidR="00AE0D53" w:rsidRPr="00C0562C">
        <w:rPr>
          <w:rFonts w:ascii="Arial" w:hAnsi="Arial" w:cs="Arial"/>
          <w:sz w:val="20"/>
          <w:szCs w:val="20"/>
        </w:rPr>
        <w:t xml:space="preserve"> willingness-digital index. We reviewed the information collected by </w:t>
      </w:r>
      <w:r w:rsidR="00765380" w:rsidRPr="00C0562C">
        <w:rPr>
          <w:rFonts w:ascii="Arial" w:hAnsi="Arial" w:cs="Arial"/>
          <w:sz w:val="20"/>
          <w:szCs w:val="20"/>
        </w:rPr>
        <w:t>ONS</w:t>
      </w:r>
      <w:r w:rsidR="002F7166" w:rsidRPr="00C0562C">
        <w:rPr>
          <w:rFonts w:ascii="Arial" w:hAnsi="Arial" w:cs="Arial"/>
          <w:sz w:val="20"/>
          <w:szCs w:val="20"/>
        </w:rPr>
        <w:t>-Labour Force Survey Quarter</w:t>
      </w:r>
      <w:r w:rsidR="005C1DCA" w:rsidRPr="00C0562C">
        <w:rPr>
          <w:rFonts w:ascii="Arial" w:hAnsi="Arial" w:cs="Arial"/>
          <w:sz w:val="20"/>
          <w:szCs w:val="20"/>
        </w:rPr>
        <w:t>ly updates</w:t>
      </w:r>
      <w:r w:rsidR="004B154F" w:rsidRPr="00C0562C">
        <w:rPr>
          <w:rFonts w:ascii="Arial" w:hAnsi="Arial" w:cs="Arial"/>
          <w:sz w:val="20"/>
          <w:szCs w:val="20"/>
        </w:rPr>
        <w:t xml:space="preserve"> (ONS, </w:t>
      </w:r>
      <w:r w:rsidR="00F305C2" w:rsidRPr="00C0562C">
        <w:rPr>
          <w:rFonts w:ascii="Arial" w:hAnsi="Arial" w:cs="Arial"/>
          <w:sz w:val="20"/>
          <w:szCs w:val="20"/>
        </w:rPr>
        <w:t>2014)</w:t>
      </w:r>
      <w:r w:rsidR="002F7166" w:rsidRPr="00C0562C">
        <w:rPr>
          <w:rFonts w:ascii="Arial" w:hAnsi="Arial" w:cs="Arial"/>
          <w:sz w:val="20"/>
          <w:szCs w:val="20"/>
        </w:rPr>
        <w:t>, ONS-Opinions Life Survey</w:t>
      </w:r>
      <w:r w:rsidR="00F305C2" w:rsidRPr="00C0562C">
        <w:rPr>
          <w:rFonts w:ascii="Arial" w:hAnsi="Arial" w:cs="Arial"/>
          <w:sz w:val="20"/>
          <w:szCs w:val="20"/>
        </w:rPr>
        <w:t xml:space="preserve"> (ONS, 2014-2018),</w:t>
      </w:r>
      <w:r w:rsidR="002F7166" w:rsidRPr="00C0562C">
        <w:rPr>
          <w:rFonts w:ascii="Arial" w:hAnsi="Arial" w:cs="Arial"/>
          <w:sz w:val="20"/>
          <w:szCs w:val="20"/>
        </w:rPr>
        <w:t xml:space="preserve"> Cabinet Office-Digital L</w:t>
      </w:r>
      <w:r w:rsidR="00765380" w:rsidRPr="00C0562C">
        <w:rPr>
          <w:rFonts w:ascii="Arial" w:hAnsi="Arial" w:cs="Arial"/>
          <w:sz w:val="20"/>
          <w:szCs w:val="20"/>
        </w:rPr>
        <w:t>andscape</w:t>
      </w:r>
      <w:r w:rsidR="005548DB" w:rsidRPr="00C0562C">
        <w:rPr>
          <w:rFonts w:ascii="Arial" w:hAnsi="Arial" w:cs="Arial"/>
          <w:sz w:val="20"/>
          <w:szCs w:val="20"/>
        </w:rPr>
        <w:t xml:space="preserve"> survey</w:t>
      </w:r>
      <w:r w:rsidR="00F305C2" w:rsidRPr="00C0562C">
        <w:rPr>
          <w:rFonts w:ascii="Arial" w:hAnsi="Arial" w:cs="Arial"/>
          <w:sz w:val="20"/>
          <w:szCs w:val="20"/>
        </w:rPr>
        <w:t xml:space="preserve"> (CO, 2012)</w:t>
      </w:r>
      <w:r w:rsidR="00765380" w:rsidRPr="00C0562C">
        <w:rPr>
          <w:rFonts w:ascii="Arial" w:hAnsi="Arial" w:cs="Arial"/>
          <w:sz w:val="20"/>
          <w:szCs w:val="20"/>
        </w:rPr>
        <w:t>, Oxford Internet Surveys</w:t>
      </w:r>
      <w:r w:rsidR="00F305C2" w:rsidRPr="00C0562C">
        <w:rPr>
          <w:rFonts w:ascii="Arial" w:hAnsi="Arial" w:cs="Arial"/>
          <w:sz w:val="20"/>
          <w:szCs w:val="20"/>
        </w:rPr>
        <w:t xml:space="preserve"> (Oxford Internet Institute, 2013)</w:t>
      </w:r>
      <w:r w:rsidR="00765380" w:rsidRPr="00C0562C">
        <w:rPr>
          <w:rFonts w:ascii="Arial" w:hAnsi="Arial" w:cs="Arial"/>
          <w:sz w:val="20"/>
          <w:szCs w:val="20"/>
        </w:rPr>
        <w:t>, Ofcom’s Media literacy research</w:t>
      </w:r>
      <w:r w:rsidR="00F305C2" w:rsidRPr="00C0562C">
        <w:rPr>
          <w:rFonts w:ascii="Arial" w:hAnsi="Arial" w:cs="Arial"/>
          <w:sz w:val="20"/>
          <w:szCs w:val="20"/>
        </w:rPr>
        <w:t xml:space="preserve"> (Ofcom, 2015)</w:t>
      </w:r>
      <w:r w:rsidR="003A783E">
        <w:rPr>
          <w:rFonts w:ascii="Arial" w:hAnsi="Arial" w:cs="Arial"/>
          <w:sz w:val="20"/>
          <w:szCs w:val="20"/>
        </w:rPr>
        <w:t xml:space="preserve"> and </w:t>
      </w:r>
      <w:r w:rsidR="009D6018">
        <w:rPr>
          <w:rFonts w:ascii="Arial" w:hAnsi="Arial" w:cs="Arial"/>
          <w:sz w:val="20"/>
          <w:szCs w:val="20"/>
        </w:rPr>
        <w:t>CDRC geodemographic of internet use and engagement (CDRC, 2014).</w:t>
      </w:r>
      <w:r w:rsidR="00765380" w:rsidRPr="00C0562C">
        <w:rPr>
          <w:rFonts w:ascii="Arial" w:hAnsi="Arial" w:cs="Arial"/>
          <w:sz w:val="20"/>
          <w:szCs w:val="20"/>
        </w:rPr>
        <w:t xml:space="preserve"> </w:t>
      </w:r>
      <w:r w:rsidR="001B5294">
        <w:rPr>
          <w:rFonts w:ascii="Arial" w:hAnsi="Arial" w:cs="Arial"/>
          <w:sz w:val="20"/>
          <w:szCs w:val="20"/>
        </w:rPr>
        <w:t>Where information was available w</w:t>
      </w:r>
      <w:r w:rsidR="00765380" w:rsidRPr="00C0562C">
        <w:rPr>
          <w:rFonts w:ascii="Arial" w:hAnsi="Arial" w:cs="Arial"/>
          <w:sz w:val="20"/>
          <w:szCs w:val="20"/>
        </w:rPr>
        <w:t xml:space="preserve">e conducted analysis by </w:t>
      </w:r>
      <w:r w:rsidR="002F7166" w:rsidRPr="00C0562C">
        <w:rPr>
          <w:rFonts w:ascii="Arial" w:hAnsi="Arial" w:cs="Arial"/>
          <w:sz w:val="20"/>
          <w:szCs w:val="20"/>
        </w:rPr>
        <w:t>broad</w:t>
      </w:r>
      <w:r w:rsidR="00765380" w:rsidRPr="00C0562C">
        <w:rPr>
          <w:rFonts w:ascii="Arial" w:hAnsi="Arial" w:cs="Arial"/>
          <w:sz w:val="20"/>
          <w:szCs w:val="20"/>
        </w:rPr>
        <w:t xml:space="preserve"> age group</w:t>
      </w:r>
      <w:r w:rsidR="002F7166" w:rsidRPr="00C0562C">
        <w:rPr>
          <w:rFonts w:ascii="Arial" w:hAnsi="Arial" w:cs="Arial"/>
          <w:sz w:val="20"/>
          <w:szCs w:val="20"/>
        </w:rPr>
        <w:t>s</w:t>
      </w:r>
      <w:r w:rsidR="00CC14B9">
        <w:rPr>
          <w:rFonts w:ascii="Arial" w:hAnsi="Arial" w:cs="Arial"/>
          <w:sz w:val="20"/>
          <w:szCs w:val="20"/>
        </w:rPr>
        <w:t xml:space="preserve"> and sex</w:t>
      </w:r>
      <w:r w:rsidR="00765380" w:rsidRPr="00C0562C">
        <w:rPr>
          <w:rFonts w:ascii="Arial" w:hAnsi="Arial" w:cs="Arial"/>
          <w:sz w:val="20"/>
          <w:szCs w:val="20"/>
        </w:rPr>
        <w:t xml:space="preserve">. </w:t>
      </w:r>
      <w:r w:rsidR="002F7166" w:rsidRPr="00C0562C">
        <w:rPr>
          <w:rFonts w:ascii="Arial" w:hAnsi="Arial" w:cs="Arial"/>
          <w:sz w:val="20"/>
          <w:szCs w:val="20"/>
        </w:rPr>
        <w:t>In line with the res</w:t>
      </w:r>
      <w:r w:rsidR="00E86A36" w:rsidRPr="00C0562C">
        <w:rPr>
          <w:rFonts w:ascii="Arial" w:hAnsi="Arial" w:cs="Arial"/>
          <w:sz w:val="20"/>
          <w:szCs w:val="20"/>
        </w:rPr>
        <w:t>ults from the 2017 Census test</w:t>
      </w:r>
      <w:r w:rsidR="00714082" w:rsidRPr="00C0562C">
        <w:rPr>
          <w:rFonts w:ascii="Arial" w:hAnsi="Arial" w:cs="Arial"/>
          <w:sz w:val="20"/>
          <w:szCs w:val="20"/>
        </w:rPr>
        <w:t xml:space="preserve"> (Corps et al, 2017)</w:t>
      </w:r>
      <w:r w:rsidR="00E86A36" w:rsidRPr="00C0562C">
        <w:rPr>
          <w:rFonts w:ascii="Arial" w:hAnsi="Arial" w:cs="Arial"/>
          <w:sz w:val="20"/>
          <w:szCs w:val="20"/>
        </w:rPr>
        <w:t xml:space="preserve">, </w:t>
      </w:r>
      <w:r w:rsidR="00765380" w:rsidRPr="00C0562C">
        <w:rPr>
          <w:rFonts w:ascii="Arial" w:hAnsi="Arial" w:cs="Arial"/>
          <w:sz w:val="20"/>
          <w:szCs w:val="20"/>
        </w:rPr>
        <w:t xml:space="preserve">younger age groups are more likely to </w:t>
      </w:r>
      <w:r w:rsidR="002F7166" w:rsidRPr="00C0562C">
        <w:rPr>
          <w:rFonts w:ascii="Arial" w:hAnsi="Arial" w:cs="Arial"/>
          <w:sz w:val="20"/>
          <w:szCs w:val="20"/>
        </w:rPr>
        <w:t xml:space="preserve">use internet and to use </w:t>
      </w:r>
      <w:r w:rsidR="00E86A36" w:rsidRPr="00C0562C">
        <w:rPr>
          <w:rFonts w:ascii="Arial" w:hAnsi="Arial" w:cs="Arial"/>
          <w:sz w:val="20"/>
          <w:szCs w:val="20"/>
        </w:rPr>
        <w:t xml:space="preserve">the </w:t>
      </w:r>
      <w:r w:rsidR="002F7166" w:rsidRPr="00C0562C">
        <w:rPr>
          <w:rFonts w:ascii="Arial" w:hAnsi="Arial" w:cs="Arial"/>
          <w:sz w:val="20"/>
          <w:szCs w:val="20"/>
        </w:rPr>
        <w:t xml:space="preserve">internet to </w:t>
      </w:r>
      <w:r w:rsidR="00765380" w:rsidRPr="00C0562C">
        <w:rPr>
          <w:rFonts w:ascii="Arial" w:hAnsi="Arial" w:cs="Arial"/>
          <w:sz w:val="20"/>
          <w:szCs w:val="20"/>
        </w:rPr>
        <w:t>interact with government websites</w:t>
      </w:r>
      <w:r w:rsidR="00E86A36" w:rsidRPr="00C0562C">
        <w:rPr>
          <w:rFonts w:ascii="Arial" w:hAnsi="Arial" w:cs="Arial"/>
          <w:sz w:val="20"/>
          <w:szCs w:val="20"/>
        </w:rPr>
        <w:t>.</w:t>
      </w:r>
      <w:r w:rsidR="00765380" w:rsidRPr="00C0562C">
        <w:rPr>
          <w:rFonts w:ascii="Arial" w:hAnsi="Arial" w:cs="Arial"/>
          <w:sz w:val="20"/>
          <w:szCs w:val="20"/>
        </w:rPr>
        <w:t xml:space="preserve"> Despite the results being </w:t>
      </w:r>
      <w:r w:rsidR="00E86A36" w:rsidRPr="00C0562C">
        <w:rPr>
          <w:rFonts w:ascii="Arial" w:hAnsi="Arial" w:cs="Arial"/>
          <w:sz w:val="20"/>
          <w:szCs w:val="20"/>
        </w:rPr>
        <w:t>good indicators of internet use by young</w:t>
      </w:r>
      <w:r w:rsidR="006C36F2">
        <w:rPr>
          <w:rFonts w:ascii="Arial" w:hAnsi="Arial" w:cs="Arial"/>
          <w:sz w:val="20"/>
          <w:szCs w:val="20"/>
        </w:rPr>
        <w:t>er</w:t>
      </w:r>
      <w:r w:rsidR="00E86A36" w:rsidRPr="00C0562C">
        <w:rPr>
          <w:rFonts w:ascii="Arial" w:hAnsi="Arial" w:cs="Arial"/>
          <w:sz w:val="20"/>
          <w:szCs w:val="20"/>
        </w:rPr>
        <w:t xml:space="preserve"> age groups </w:t>
      </w:r>
      <w:r w:rsidR="00765380" w:rsidRPr="00C0562C">
        <w:rPr>
          <w:rFonts w:ascii="Arial" w:hAnsi="Arial" w:cs="Arial"/>
          <w:sz w:val="20"/>
          <w:szCs w:val="20"/>
        </w:rPr>
        <w:t>we ha</w:t>
      </w:r>
      <w:r w:rsidR="00E86A36" w:rsidRPr="00C0562C">
        <w:rPr>
          <w:rFonts w:ascii="Arial" w:hAnsi="Arial" w:cs="Arial"/>
          <w:sz w:val="20"/>
          <w:szCs w:val="20"/>
        </w:rPr>
        <w:t>ve</w:t>
      </w:r>
      <w:r w:rsidR="00765380" w:rsidRPr="00C0562C">
        <w:rPr>
          <w:rFonts w:ascii="Arial" w:hAnsi="Arial" w:cs="Arial"/>
          <w:sz w:val="20"/>
          <w:szCs w:val="20"/>
        </w:rPr>
        <w:t xml:space="preserve"> to be cautious about making inferences to the whole population</w:t>
      </w:r>
      <w:r w:rsidR="00E86A36" w:rsidRPr="00C0562C">
        <w:rPr>
          <w:rFonts w:ascii="Arial" w:hAnsi="Arial" w:cs="Arial"/>
          <w:sz w:val="20"/>
          <w:szCs w:val="20"/>
        </w:rPr>
        <w:t xml:space="preserve"> (of both young and other age groups)</w:t>
      </w:r>
      <w:r w:rsidR="00765380" w:rsidRPr="00C0562C">
        <w:rPr>
          <w:rFonts w:ascii="Arial" w:hAnsi="Arial" w:cs="Arial"/>
          <w:sz w:val="20"/>
          <w:szCs w:val="20"/>
        </w:rPr>
        <w:t>. The surveys are voluntary and likely to have response bias</w:t>
      </w:r>
      <w:r w:rsidR="00423F5E" w:rsidRPr="00C0562C">
        <w:rPr>
          <w:rFonts w:ascii="Arial" w:hAnsi="Arial" w:cs="Arial"/>
          <w:sz w:val="20"/>
          <w:szCs w:val="20"/>
        </w:rPr>
        <w:t xml:space="preserve"> (including the 2017 Census test)</w:t>
      </w:r>
      <w:r w:rsidR="00765380" w:rsidRPr="00C0562C">
        <w:rPr>
          <w:rFonts w:ascii="Arial" w:hAnsi="Arial" w:cs="Arial"/>
          <w:sz w:val="20"/>
          <w:szCs w:val="20"/>
        </w:rPr>
        <w:t xml:space="preserve">. The pattern of response may be different for </w:t>
      </w:r>
      <w:r w:rsidR="00003CA6" w:rsidRPr="00C0562C">
        <w:rPr>
          <w:rFonts w:ascii="Arial" w:hAnsi="Arial" w:cs="Arial"/>
          <w:sz w:val="20"/>
          <w:szCs w:val="20"/>
        </w:rPr>
        <w:t xml:space="preserve">a </w:t>
      </w:r>
      <w:r w:rsidR="00765380" w:rsidRPr="00C0562C">
        <w:rPr>
          <w:rFonts w:ascii="Arial" w:hAnsi="Arial" w:cs="Arial"/>
          <w:sz w:val="20"/>
          <w:szCs w:val="20"/>
        </w:rPr>
        <w:t>census which is mandatory.  Also</w:t>
      </w:r>
      <w:r w:rsidR="0049325B" w:rsidRPr="00C0562C">
        <w:rPr>
          <w:rFonts w:ascii="Arial" w:hAnsi="Arial" w:cs="Arial"/>
          <w:sz w:val="20"/>
          <w:szCs w:val="20"/>
        </w:rPr>
        <w:t>,</w:t>
      </w:r>
      <w:r w:rsidR="00765380" w:rsidRPr="00C0562C">
        <w:rPr>
          <w:rFonts w:ascii="Arial" w:hAnsi="Arial" w:cs="Arial"/>
          <w:sz w:val="20"/>
          <w:szCs w:val="20"/>
        </w:rPr>
        <w:t xml:space="preserve"> the results from surveys provide</w:t>
      </w:r>
      <w:r w:rsidR="0049325B" w:rsidRPr="00C0562C">
        <w:rPr>
          <w:rFonts w:ascii="Arial" w:hAnsi="Arial" w:cs="Arial"/>
          <w:sz w:val="20"/>
          <w:szCs w:val="20"/>
        </w:rPr>
        <w:t>d</w:t>
      </w:r>
      <w:r w:rsidR="00765380" w:rsidRPr="00C0562C">
        <w:rPr>
          <w:rFonts w:ascii="Arial" w:hAnsi="Arial" w:cs="Arial"/>
          <w:sz w:val="20"/>
          <w:szCs w:val="20"/>
        </w:rPr>
        <w:t xml:space="preserve"> information at national level but sample sizes were not large enough to give accurate estimates at LSOA level of geography. </w:t>
      </w:r>
      <w:r w:rsidR="00C858D1" w:rsidRPr="00C0562C">
        <w:rPr>
          <w:rFonts w:ascii="Arial" w:hAnsi="Arial" w:cs="Arial"/>
          <w:sz w:val="20"/>
          <w:szCs w:val="20"/>
        </w:rPr>
        <w:t xml:space="preserve">We would need a </w:t>
      </w:r>
      <w:r w:rsidR="00041995" w:rsidRPr="00C0562C">
        <w:rPr>
          <w:rFonts w:ascii="Arial" w:hAnsi="Arial" w:cs="Arial"/>
          <w:sz w:val="20"/>
          <w:szCs w:val="20"/>
        </w:rPr>
        <w:t xml:space="preserve">complex </w:t>
      </w:r>
      <w:r w:rsidR="00C858D1" w:rsidRPr="00C0562C">
        <w:rPr>
          <w:rFonts w:ascii="Arial" w:hAnsi="Arial" w:cs="Arial"/>
          <w:sz w:val="20"/>
          <w:szCs w:val="20"/>
        </w:rPr>
        <w:t xml:space="preserve">method </w:t>
      </w:r>
      <w:r w:rsidR="00041995" w:rsidRPr="00C0562C">
        <w:rPr>
          <w:rFonts w:ascii="Arial" w:hAnsi="Arial" w:cs="Arial"/>
          <w:sz w:val="20"/>
          <w:szCs w:val="20"/>
        </w:rPr>
        <w:t xml:space="preserve">to combine </w:t>
      </w:r>
      <w:r w:rsidR="007E688E" w:rsidRPr="00C0562C">
        <w:rPr>
          <w:rFonts w:ascii="Arial" w:hAnsi="Arial" w:cs="Arial"/>
          <w:sz w:val="20"/>
          <w:szCs w:val="20"/>
        </w:rPr>
        <w:t>the 2011 C</w:t>
      </w:r>
      <w:r w:rsidR="00041995" w:rsidRPr="00C0562C">
        <w:rPr>
          <w:rFonts w:ascii="Arial" w:hAnsi="Arial" w:cs="Arial"/>
          <w:sz w:val="20"/>
          <w:szCs w:val="20"/>
        </w:rPr>
        <w:t xml:space="preserve">ensus and </w:t>
      </w:r>
      <w:r w:rsidR="00EA7BF3" w:rsidRPr="00C0562C">
        <w:rPr>
          <w:rFonts w:ascii="Arial" w:hAnsi="Arial" w:cs="Arial"/>
          <w:sz w:val="20"/>
          <w:szCs w:val="20"/>
        </w:rPr>
        <w:t xml:space="preserve">up-to-date </w:t>
      </w:r>
      <w:r w:rsidR="00041995" w:rsidRPr="00C0562C">
        <w:rPr>
          <w:rFonts w:ascii="Arial" w:hAnsi="Arial" w:cs="Arial"/>
          <w:sz w:val="20"/>
          <w:szCs w:val="20"/>
        </w:rPr>
        <w:t>survey</w:t>
      </w:r>
      <w:r w:rsidR="000E6BC0" w:rsidRPr="00C0562C">
        <w:rPr>
          <w:rFonts w:ascii="Arial" w:hAnsi="Arial" w:cs="Arial"/>
          <w:sz w:val="20"/>
          <w:szCs w:val="20"/>
        </w:rPr>
        <w:t>’s</w:t>
      </w:r>
      <w:r w:rsidR="00041995" w:rsidRPr="00C0562C">
        <w:rPr>
          <w:rFonts w:ascii="Arial" w:hAnsi="Arial" w:cs="Arial"/>
          <w:sz w:val="20"/>
          <w:szCs w:val="20"/>
        </w:rPr>
        <w:t xml:space="preserve"> information to the level of geography needed. </w:t>
      </w:r>
      <w:r w:rsidR="00750213" w:rsidRPr="00C0562C">
        <w:rPr>
          <w:rFonts w:ascii="Arial" w:hAnsi="Arial" w:cs="Arial"/>
          <w:sz w:val="20"/>
          <w:szCs w:val="20"/>
        </w:rPr>
        <w:t>And this method would still have the risk of inaccuracy of results.</w:t>
      </w:r>
    </w:p>
    <w:p w14:paraId="56BB3B97" w14:textId="77777777" w:rsidR="00FA653C" w:rsidRPr="00C0562C" w:rsidRDefault="00FA653C" w:rsidP="00FA653C">
      <w:pPr>
        <w:spacing w:after="0" w:line="240" w:lineRule="auto"/>
        <w:jc w:val="both"/>
        <w:rPr>
          <w:rFonts w:ascii="Arial" w:hAnsi="Arial" w:cs="Arial"/>
          <w:sz w:val="20"/>
          <w:szCs w:val="20"/>
        </w:rPr>
      </w:pPr>
    </w:p>
    <w:p w14:paraId="67EA03EB" w14:textId="77777777" w:rsidR="00091073" w:rsidRPr="00C0562C" w:rsidRDefault="00091073" w:rsidP="00FA653C">
      <w:pPr>
        <w:spacing w:after="0" w:line="240" w:lineRule="auto"/>
        <w:jc w:val="both"/>
        <w:rPr>
          <w:rFonts w:ascii="Arial" w:hAnsi="Arial" w:cs="Arial"/>
          <w:sz w:val="20"/>
          <w:szCs w:val="20"/>
        </w:rPr>
      </w:pPr>
      <w:r w:rsidRPr="00C0562C">
        <w:rPr>
          <w:rFonts w:ascii="Arial" w:hAnsi="Arial" w:cs="Arial"/>
          <w:sz w:val="20"/>
          <w:szCs w:val="20"/>
        </w:rPr>
        <w:lastRenderedPageBreak/>
        <w:t>We tested using the results of the 2017 Census test to build an ‘</w:t>
      </w:r>
      <w:r w:rsidR="00EF576E">
        <w:rPr>
          <w:rFonts w:ascii="Arial" w:hAnsi="Arial" w:cs="Arial"/>
          <w:sz w:val="20"/>
          <w:szCs w:val="20"/>
        </w:rPr>
        <w:t xml:space="preserve">online </w:t>
      </w:r>
      <w:r w:rsidRPr="00C0562C">
        <w:rPr>
          <w:rFonts w:ascii="Arial" w:hAnsi="Arial" w:cs="Arial"/>
          <w:sz w:val="20"/>
          <w:szCs w:val="20"/>
        </w:rPr>
        <w:t xml:space="preserve">adjustment’ to the Willingness domain of the HtC index. Considering the small sample size, the low response rates and the risk of response bias in the 2017 Census test, we decided not to pursue this method. </w:t>
      </w:r>
      <w:r w:rsidR="00F8139E" w:rsidRPr="00C0562C">
        <w:rPr>
          <w:rFonts w:ascii="Arial" w:hAnsi="Arial" w:cs="Arial"/>
          <w:sz w:val="20"/>
          <w:szCs w:val="20"/>
        </w:rPr>
        <w:t xml:space="preserve">First because the 2017 Census test </w:t>
      </w:r>
      <w:r w:rsidR="004D7442">
        <w:rPr>
          <w:rFonts w:ascii="Arial" w:hAnsi="Arial" w:cs="Arial"/>
          <w:sz w:val="20"/>
          <w:szCs w:val="20"/>
        </w:rPr>
        <w:t xml:space="preserve">did not collect information </w:t>
      </w:r>
      <w:r w:rsidR="00F8139E" w:rsidRPr="00C0562C">
        <w:rPr>
          <w:rFonts w:ascii="Arial" w:hAnsi="Arial" w:cs="Arial"/>
          <w:sz w:val="20"/>
          <w:szCs w:val="20"/>
        </w:rPr>
        <w:t xml:space="preserve">designed </w:t>
      </w:r>
      <w:r w:rsidR="00033158">
        <w:rPr>
          <w:rFonts w:ascii="Arial" w:hAnsi="Arial" w:cs="Arial"/>
          <w:sz w:val="20"/>
          <w:szCs w:val="20"/>
        </w:rPr>
        <w:t xml:space="preserve">to be </w:t>
      </w:r>
      <w:r w:rsidR="004D7442">
        <w:rPr>
          <w:rFonts w:ascii="Arial" w:hAnsi="Arial" w:cs="Arial"/>
          <w:sz w:val="20"/>
          <w:szCs w:val="20"/>
        </w:rPr>
        <w:t xml:space="preserve">used </w:t>
      </w:r>
      <w:r w:rsidR="006C3226" w:rsidRPr="00C0562C">
        <w:rPr>
          <w:rFonts w:ascii="Arial" w:hAnsi="Arial" w:cs="Arial"/>
          <w:sz w:val="20"/>
          <w:szCs w:val="20"/>
        </w:rPr>
        <w:t>as</w:t>
      </w:r>
      <w:r w:rsidR="00F8139E" w:rsidRPr="00C0562C">
        <w:rPr>
          <w:rFonts w:ascii="Arial" w:hAnsi="Arial" w:cs="Arial"/>
          <w:sz w:val="20"/>
          <w:szCs w:val="20"/>
        </w:rPr>
        <w:t xml:space="preserve"> an adjustment </w:t>
      </w:r>
      <w:r w:rsidR="006C3226" w:rsidRPr="00C0562C">
        <w:rPr>
          <w:rFonts w:ascii="Arial" w:hAnsi="Arial" w:cs="Arial"/>
          <w:sz w:val="20"/>
          <w:szCs w:val="20"/>
        </w:rPr>
        <w:t xml:space="preserve">variable </w:t>
      </w:r>
      <w:r w:rsidR="00F8139E" w:rsidRPr="00C0562C">
        <w:rPr>
          <w:rFonts w:ascii="Arial" w:hAnsi="Arial" w:cs="Arial"/>
          <w:sz w:val="20"/>
          <w:szCs w:val="20"/>
        </w:rPr>
        <w:t>to the willingness to respond to a census</w:t>
      </w:r>
      <w:r w:rsidR="006C3226" w:rsidRPr="00C0562C">
        <w:rPr>
          <w:rFonts w:ascii="Arial" w:hAnsi="Arial" w:cs="Arial"/>
          <w:sz w:val="20"/>
          <w:szCs w:val="20"/>
        </w:rPr>
        <w:t xml:space="preserve"> model</w:t>
      </w:r>
      <w:r w:rsidR="00F8139E" w:rsidRPr="00C0562C">
        <w:rPr>
          <w:rFonts w:ascii="Arial" w:hAnsi="Arial" w:cs="Arial"/>
          <w:sz w:val="20"/>
          <w:szCs w:val="20"/>
        </w:rPr>
        <w:t xml:space="preserve">. Second, </w:t>
      </w:r>
      <w:r w:rsidR="00033158">
        <w:rPr>
          <w:rFonts w:ascii="Arial" w:hAnsi="Arial" w:cs="Arial"/>
          <w:sz w:val="20"/>
          <w:szCs w:val="20"/>
        </w:rPr>
        <w:t xml:space="preserve">even using other information that had been collected </w:t>
      </w:r>
      <w:r w:rsidR="00F8139E" w:rsidRPr="00C0562C">
        <w:rPr>
          <w:rFonts w:ascii="Arial" w:hAnsi="Arial" w:cs="Arial"/>
          <w:sz w:val="20"/>
          <w:szCs w:val="20"/>
        </w:rPr>
        <w:t>there</w:t>
      </w:r>
      <w:r w:rsidRPr="00C0562C">
        <w:rPr>
          <w:rFonts w:ascii="Arial" w:hAnsi="Arial" w:cs="Arial"/>
          <w:sz w:val="20"/>
          <w:szCs w:val="20"/>
        </w:rPr>
        <w:t xml:space="preserve"> </w:t>
      </w:r>
      <w:r w:rsidR="00F8139E" w:rsidRPr="00C0562C">
        <w:rPr>
          <w:rFonts w:ascii="Arial" w:hAnsi="Arial" w:cs="Arial"/>
          <w:sz w:val="20"/>
          <w:szCs w:val="20"/>
        </w:rPr>
        <w:t xml:space="preserve">would be </w:t>
      </w:r>
      <w:r w:rsidRPr="00C0562C">
        <w:rPr>
          <w:rFonts w:ascii="Arial" w:hAnsi="Arial" w:cs="Arial"/>
          <w:sz w:val="20"/>
          <w:szCs w:val="20"/>
        </w:rPr>
        <w:t>a high risk of incurring in an error that could result in spoiling a robust model which</w:t>
      </w:r>
      <w:r w:rsidR="00750213" w:rsidRPr="00C0562C">
        <w:rPr>
          <w:rFonts w:ascii="Arial" w:hAnsi="Arial" w:cs="Arial"/>
          <w:sz w:val="20"/>
          <w:szCs w:val="20"/>
        </w:rPr>
        <w:t>,</w:t>
      </w:r>
      <w:r w:rsidRPr="00C0562C">
        <w:rPr>
          <w:rFonts w:ascii="Arial" w:hAnsi="Arial" w:cs="Arial"/>
          <w:sz w:val="20"/>
          <w:szCs w:val="20"/>
        </w:rPr>
        <w:t xml:space="preserve"> despite being conservative</w:t>
      </w:r>
      <w:r w:rsidR="00750213" w:rsidRPr="00C0562C">
        <w:rPr>
          <w:rFonts w:ascii="Arial" w:hAnsi="Arial" w:cs="Arial"/>
          <w:sz w:val="20"/>
          <w:szCs w:val="20"/>
        </w:rPr>
        <w:t>,</w:t>
      </w:r>
      <w:r w:rsidRPr="00C0562C">
        <w:rPr>
          <w:rFonts w:ascii="Arial" w:hAnsi="Arial" w:cs="Arial"/>
          <w:sz w:val="20"/>
          <w:szCs w:val="20"/>
        </w:rPr>
        <w:t xml:space="preserve"> is based on results from a census and strong evidence of characteristics of people who are willing to respond to it. </w:t>
      </w:r>
    </w:p>
    <w:p w14:paraId="17A53613" w14:textId="77777777" w:rsidR="00091073" w:rsidRPr="00C0562C" w:rsidRDefault="00091073" w:rsidP="00FA653C">
      <w:pPr>
        <w:pStyle w:val="CommentText"/>
        <w:spacing w:after="0"/>
        <w:jc w:val="both"/>
        <w:rPr>
          <w:rFonts w:ascii="Arial" w:hAnsi="Arial" w:cs="Arial"/>
        </w:rPr>
      </w:pPr>
    </w:p>
    <w:p w14:paraId="3818395D" w14:textId="77777777" w:rsidR="002871FE" w:rsidRPr="00C0562C" w:rsidRDefault="008D31C5" w:rsidP="00FA653C">
      <w:pPr>
        <w:pStyle w:val="CommentText"/>
        <w:spacing w:after="0"/>
        <w:jc w:val="both"/>
        <w:rPr>
          <w:rFonts w:ascii="Arial" w:hAnsi="Arial" w:cs="Arial"/>
        </w:rPr>
      </w:pPr>
      <w:r w:rsidRPr="00C0562C">
        <w:rPr>
          <w:rFonts w:ascii="Arial" w:hAnsi="Arial" w:cs="Arial"/>
        </w:rPr>
        <w:t xml:space="preserve">We </w:t>
      </w:r>
      <w:r w:rsidR="008F227B" w:rsidRPr="00C0562C">
        <w:rPr>
          <w:rFonts w:ascii="Arial" w:hAnsi="Arial" w:cs="Arial"/>
        </w:rPr>
        <w:t xml:space="preserve">also </w:t>
      </w:r>
      <w:r w:rsidR="00CB2178" w:rsidRPr="00C0562C">
        <w:rPr>
          <w:rFonts w:ascii="Arial" w:hAnsi="Arial" w:cs="Arial"/>
        </w:rPr>
        <w:t>tested the use of</w:t>
      </w:r>
      <w:r w:rsidRPr="00C0562C">
        <w:rPr>
          <w:rFonts w:ascii="Arial" w:hAnsi="Arial" w:cs="Arial"/>
        </w:rPr>
        <w:t xml:space="preserve"> </w:t>
      </w:r>
      <w:r w:rsidR="00D402FC" w:rsidRPr="00C0562C">
        <w:rPr>
          <w:rFonts w:ascii="Arial" w:hAnsi="Arial" w:cs="Arial"/>
        </w:rPr>
        <w:t>P</w:t>
      </w:r>
      <w:r w:rsidR="00412BA9" w:rsidRPr="00C0562C">
        <w:rPr>
          <w:rFonts w:ascii="Arial" w:hAnsi="Arial" w:cs="Arial"/>
        </w:rPr>
        <w:t xml:space="preserve">rincipal </w:t>
      </w:r>
      <w:r w:rsidR="00D402FC" w:rsidRPr="00C0562C">
        <w:rPr>
          <w:rFonts w:ascii="Arial" w:hAnsi="Arial" w:cs="Arial"/>
        </w:rPr>
        <w:t>C</w:t>
      </w:r>
      <w:r w:rsidR="00412BA9" w:rsidRPr="00C0562C">
        <w:rPr>
          <w:rFonts w:ascii="Arial" w:hAnsi="Arial" w:cs="Arial"/>
        </w:rPr>
        <w:t xml:space="preserve">omponent </w:t>
      </w:r>
      <w:r w:rsidR="00D402FC" w:rsidRPr="00C0562C">
        <w:rPr>
          <w:rFonts w:ascii="Arial" w:hAnsi="Arial" w:cs="Arial"/>
        </w:rPr>
        <w:t>A</w:t>
      </w:r>
      <w:r w:rsidR="00412BA9" w:rsidRPr="00C0562C">
        <w:rPr>
          <w:rFonts w:ascii="Arial" w:hAnsi="Arial" w:cs="Arial"/>
        </w:rPr>
        <w:t xml:space="preserve">nalysis </w:t>
      </w:r>
      <w:r w:rsidR="00F305C2" w:rsidRPr="00C0562C">
        <w:rPr>
          <w:rFonts w:ascii="Arial" w:hAnsi="Arial" w:cs="Arial"/>
        </w:rPr>
        <w:t xml:space="preserve">(PCA) </w:t>
      </w:r>
      <w:r w:rsidR="00BE66EA">
        <w:rPr>
          <w:rFonts w:ascii="Arial" w:hAnsi="Arial" w:cs="Arial"/>
        </w:rPr>
        <w:t>(</w:t>
      </w:r>
      <w:r w:rsidR="00A33693">
        <w:rPr>
          <w:rFonts w:ascii="Arial" w:hAnsi="Arial" w:cs="Arial"/>
        </w:rPr>
        <w:t xml:space="preserve">Congdon, 2003) </w:t>
      </w:r>
      <w:r w:rsidRPr="00C0562C">
        <w:rPr>
          <w:rFonts w:ascii="Arial" w:hAnsi="Arial" w:cs="Arial"/>
        </w:rPr>
        <w:t>to combine</w:t>
      </w:r>
      <w:r w:rsidR="00CB2178" w:rsidRPr="00C0562C">
        <w:rPr>
          <w:rFonts w:ascii="Arial" w:hAnsi="Arial" w:cs="Arial"/>
        </w:rPr>
        <w:t xml:space="preserve"> </w:t>
      </w:r>
      <w:r w:rsidR="00FA2EDF">
        <w:rPr>
          <w:rFonts w:ascii="Arial" w:hAnsi="Arial" w:cs="Arial"/>
        </w:rPr>
        <w:t>the variables</w:t>
      </w:r>
      <w:r w:rsidR="000715CF">
        <w:rPr>
          <w:rFonts w:ascii="Arial" w:hAnsi="Arial" w:cs="Arial"/>
        </w:rPr>
        <w:t>,</w:t>
      </w:r>
      <w:r w:rsidR="00FA2EDF">
        <w:rPr>
          <w:rFonts w:ascii="Arial" w:hAnsi="Arial" w:cs="Arial"/>
        </w:rPr>
        <w:t xml:space="preserve"> </w:t>
      </w:r>
      <w:r w:rsidR="00CB2178" w:rsidRPr="00C0562C">
        <w:rPr>
          <w:rFonts w:ascii="Arial" w:hAnsi="Arial" w:cs="Arial"/>
        </w:rPr>
        <w:t>2011 Census day 10 returns</w:t>
      </w:r>
      <w:r w:rsidR="003C659F" w:rsidRPr="00C0562C">
        <w:rPr>
          <w:rFonts w:ascii="Arial" w:hAnsi="Arial" w:cs="Arial"/>
        </w:rPr>
        <w:t xml:space="preserve"> </w:t>
      </w:r>
      <w:r w:rsidR="00CB2178" w:rsidRPr="00C0562C">
        <w:rPr>
          <w:rFonts w:ascii="Arial" w:hAnsi="Arial" w:cs="Arial"/>
        </w:rPr>
        <w:t xml:space="preserve">and </w:t>
      </w:r>
      <w:r w:rsidR="009C231F">
        <w:rPr>
          <w:rFonts w:ascii="Arial" w:hAnsi="Arial" w:cs="Arial"/>
        </w:rPr>
        <w:t>access to the internet (</w:t>
      </w:r>
      <w:r w:rsidR="00CB2178" w:rsidRPr="00C0562C">
        <w:rPr>
          <w:rFonts w:ascii="Arial" w:hAnsi="Arial" w:cs="Arial"/>
        </w:rPr>
        <w:t>Ofcom data)</w:t>
      </w:r>
      <w:r w:rsidR="000715CF">
        <w:rPr>
          <w:rFonts w:ascii="Arial" w:hAnsi="Arial" w:cs="Arial"/>
        </w:rPr>
        <w:t>,</w:t>
      </w:r>
      <w:r w:rsidR="00CB2178" w:rsidRPr="00C0562C">
        <w:rPr>
          <w:rFonts w:ascii="Arial" w:hAnsi="Arial" w:cs="Arial"/>
        </w:rPr>
        <w:t xml:space="preserve"> </w:t>
      </w:r>
      <w:r w:rsidR="009C231F">
        <w:rPr>
          <w:rFonts w:ascii="Arial" w:hAnsi="Arial" w:cs="Arial"/>
        </w:rPr>
        <w:t>t</w:t>
      </w:r>
      <w:r w:rsidR="00D402FC" w:rsidRPr="00C0562C">
        <w:rPr>
          <w:rFonts w:ascii="Arial" w:hAnsi="Arial" w:cs="Arial"/>
        </w:rPr>
        <w:t>o build a ‘Willingness-digital’ index</w:t>
      </w:r>
      <w:r w:rsidR="00CB2178" w:rsidRPr="00C0562C">
        <w:rPr>
          <w:rFonts w:ascii="Arial" w:hAnsi="Arial" w:cs="Arial"/>
        </w:rPr>
        <w:t xml:space="preserve">. It </w:t>
      </w:r>
      <w:r w:rsidR="003C659F" w:rsidRPr="00C0562C">
        <w:rPr>
          <w:rFonts w:ascii="Arial" w:hAnsi="Arial" w:cs="Arial"/>
        </w:rPr>
        <w:t>did not prove</w:t>
      </w:r>
      <w:r w:rsidR="00F305C2" w:rsidRPr="00C0562C">
        <w:rPr>
          <w:rFonts w:ascii="Arial" w:hAnsi="Arial" w:cs="Arial"/>
        </w:rPr>
        <w:t xml:space="preserve"> </w:t>
      </w:r>
      <w:r w:rsidR="00445103" w:rsidRPr="00C0562C">
        <w:rPr>
          <w:rFonts w:ascii="Arial" w:hAnsi="Arial" w:cs="Arial"/>
        </w:rPr>
        <w:t>t</w:t>
      </w:r>
      <w:r w:rsidR="00F305C2" w:rsidRPr="00C0562C">
        <w:rPr>
          <w:rFonts w:ascii="Arial" w:hAnsi="Arial" w:cs="Arial"/>
        </w:rPr>
        <w:t xml:space="preserve">o be an appropriate method. PCA is a </w:t>
      </w:r>
      <w:r w:rsidR="006917AC" w:rsidRPr="00C0562C">
        <w:rPr>
          <w:rFonts w:ascii="Arial" w:hAnsi="Arial" w:cs="Arial"/>
        </w:rPr>
        <w:t xml:space="preserve">variables’ </w:t>
      </w:r>
      <w:r w:rsidR="00F305C2" w:rsidRPr="00C0562C">
        <w:rPr>
          <w:rFonts w:ascii="Arial" w:hAnsi="Arial" w:cs="Arial"/>
        </w:rPr>
        <w:t>reduction</w:t>
      </w:r>
      <w:r w:rsidR="006917AC" w:rsidRPr="00C0562C">
        <w:rPr>
          <w:rFonts w:ascii="Arial" w:hAnsi="Arial" w:cs="Arial"/>
        </w:rPr>
        <w:t xml:space="preserve"> </w:t>
      </w:r>
      <w:r w:rsidR="00EB5F93" w:rsidRPr="00C0562C">
        <w:rPr>
          <w:rFonts w:ascii="Arial" w:hAnsi="Arial" w:cs="Arial"/>
        </w:rPr>
        <w:t>technique</w:t>
      </w:r>
      <w:r w:rsidR="003C35C6" w:rsidRPr="00C0562C">
        <w:rPr>
          <w:rStyle w:val="FootnoteReference"/>
          <w:rFonts w:ascii="Arial" w:hAnsi="Arial" w:cs="Arial"/>
          <w:b/>
        </w:rPr>
        <w:footnoteReference w:id="1"/>
      </w:r>
      <w:r w:rsidR="003C35C6" w:rsidRPr="00C0562C">
        <w:rPr>
          <w:rFonts w:ascii="Arial" w:hAnsi="Arial" w:cs="Arial"/>
        </w:rPr>
        <w:t xml:space="preserve"> </w:t>
      </w:r>
      <w:r w:rsidR="00F305C2" w:rsidRPr="00C0562C">
        <w:rPr>
          <w:rFonts w:ascii="Arial" w:hAnsi="Arial" w:cs="Arial"/>
        </w:rPr>
        <w:t xml:space="preserve"> and used when </w:t>
      </w:r>
      <w:r w:rsidR="006917AC" w:rsidRPr="00C0562C">
        <w:rPr>
          <w:rFonts w:ascii="Arial" w:hAnsi="Arial" w:cs="Arial"/>
        </w:rPr>
        <w:t xml:space="preserve">primarily </w:t>
      </w:r>
      <w:r w:rsidR="00F305C2" w:rsidRPr="00C0562C">
        <w:rPr>
          <w:rFonts w:ascii="Arial" w:hAnsi="Arial" w:cs="Arial"/>
        </w:rPr>
        <w:t>all variable</w:t>
      </w:r>
      <w:r w:rsidR="00B9115F" w:rsidRPr="00C0562C">
        <w:rPr>
          <w:rFonts w:ascii="Arial" w:hAnsi="Arial" w:cs="Arial"/>
        </w:rPr>
        <w:t xml:space="preserve">s are measuring the same </w:t>
      </w:r>
      <w:r w:rsidR="0036356C" w:rsidRPr="00C0562C">
        <w:rPr>
          <w:rFonts w:ascii="Arial" w:hAnsi="Arial" w:cs="Arial"/>
        </w:rPr>
        <w:t>concepts</w:t>
      </w:r>
      <w:r w:rsidR="00EB5F93" w:rsidRPr="00C0562C">
        <w:rPr>
          <w:rFonts w:ascii="Arial" w:hAnsi="Arial" w:cs="Arial"/>
        </w:rPr>
        <w:t xml:space="preserve"> and there is evidence that there is ‘redundancy’ in some of the variables</w:t>
      </w:r>
      <w:r w:rsidR="00B9115F" w:rsidRPr="00C0562C">
        <w:rPr>
          <w:rFonts w:ascii="Arial" w:hAnsi="Arial" w:cs="Arial"/>
        </w:rPr>
        <w:t>.</w:t>
      </w:r>
      <w:r w:rsidR="00F305C2" w:rsidRPr="00C0562C">
        <w:rPr>
          <w:rFonts w:ascii="Arial" w:hAnsi="Arial" w:cs="Arial"/>
        </w:rPr>
        <w:t xml:space="preserve"> In our case the variables (census return and digital access) </w:t>
      </w:r>
      <w:r w:rsidR="00EB5F93" w:rsidRPr="00C0562C">
        <w:rPr>
          <w:rFonts w:ascii="Arial" w:hAnsi="Arial" w:cs="Arial"/>
        </w:rPr>
        <w:t xml:space="preserve">measure </w:t>
      </w:r>
      <w:r w:rsidR="00412BA9" w:rsidRPr="00C0562C">
        <w:rPr>
          <w:rFonts w:ascii="Arial" w:hAnsi="Arial" w:cs="Arial"/>
        </w:rPr>
        <w:t>di</w:t>
      </w:r>
      <w:r w:rsidR="003C659F" w:rsidRPr="00C0562C">
        <w:rPr>
          <w:rFonts w:ascii="Arial" w:hAnsi="Arial" w:cs="Arial"/>
        </w:rPr>
        <w:t xml:space="preserve">fferent </w:t>
      </w:r>
      <w:r w:rsidR="0036356C" w:rsidRPr="00C0562C">
        <w:rPr>
          <w:rFonts w:ascii="Arial" w:hAnsi="Arial" w:cs="Arial"/>
        </w:rPr>
        <w:t>concepts</w:t>
      </w:r>
      <w:r w:rsidR="00F305C2" w:rsidRPr="00C0562C">
        <w:rPr>
          <w:rFonts w:ascii="Arial" w:hAnsi="Arial" w:cs="Arial"/>
        </w:rPr>
        <w:t xml:space="preserve">. </w:t>
      </w:r>
      <w:r w:rsidR="00B9115F" w:rsidRPr="00C0562C">
        <w:rPr>
          <w:rFonts w:ascii="Arial" w:hAnsi="Arial" w:cs="Arial"/>
        </w:rPr>
        <w:t>The results obtained by c</w:t>
      </w:r>
      <w:r w:rsidR="00270E66" w:rsidRPr="00C0562C">
        <w:rPr>
          <w:rFonts w:ascii="Arial" w:hAnsi="Arial" w:cs="Arial"/>
        </w:rPr>
        <w:t>ombining the</w:t>
      </w:r>
      <w:r w:rsidR="00B9115F" w:rsidRPr="00C0562C">
        <w:rPr>
          <w:rFonts w:ascii="Arial" w:hAnsi="Arial" w:cs="Arial"/>
        </w:rPr>
        <w:t xml:space="preserve">se variables using the PCA method did not give us a </w:t>
      </w:r>
      <w:r w:rsidR="00270E66" w:rsidRPr="00C0562C">
        <w:rPr>
          <w:rFonts w:ascii="Arial" w:hAnsi="Arial" w:cs="Arial"/>
        </w:rPr>
        <w:t>clear</w:t>
      </w:r>
      <w:r w:rsidR="00B9115F" w:rsidRPr="00C0562C">
        <w:rPr>
          <w:rFonts w:ascii="Arial" w:hAnsi="Arial" w:cs="Arial"/>
        </w:rPr>
        <w:t xml:space="preserve"> outcome of </w:t>
      </w:r>
      <w:r w:rsidR="00270E66" w:rsidRPr="00C0562C">
        <w:rPr>
          <w:rFonts w:ascii="Arial" w:hAnsi="Arial" w:cs="Arial"/>
        </w:rPr>
        <w:t xml:space="preserve">what was being measured. </w:t>
      </w:r>
      <w:r w:rsidR="007B4C73" w:rsidRPr="00C0562C">
        <w:rPr>
          <w:rFonts w:ascii="Arial" w:hAnsi="Arial" w:cs="Arial"/>
        </w:rPr>
        <w:t xml:space="preserve">The same principle applies if we include the DVLA data as another variable </w:t>
      </w:r>
      <w:r w:rsidR="004F3A30" w:rsidRPr="00C0562C">
        <w:rPr>
          <w:rFonts w:ascii="Arial" w:hAnsi="Arial" w:cs="Arial"/>
        </w:rPr>
        <w:t xml:space="preserve">and conduct a </w:t>
      </w:r>
      <w:r w:rsidR="007B4C73" w:rsidRPr="00C0562C">
        <w:rPr>
          <w:rFonts w:ascii="Arial" w:hAnsi="Arial" w:cs="Arial"/>
        </w:rPr>
        <w:t>PCA.</w:t>
      </w:r>
    </w:p>
    <w:p w14:paraId="145D830C" w14:textId="77777777" w:rsidR="008052C9" w:rsidRPr="00C0562C" w:rsidRDefault="008052C9" w:rsidP="00FA653C">
      <w:pPr>
        <w:spacing w:after="0" w:line="240" w:lineRule="auto"/>
        <w:jc w:val="both"/>
        <w:rPr>
          <w:rFonts w:ascii="Arial" w:hAnsi="Arial" w:cs="Arial"/>
          <w:sz w:val="20"/>
          <w:szCs w:val="20"/>
        </w:rPr>
      </w:pPr>
    </w:p>
    <w:p w14:paraId="62792A2A" w14:textId="77777777" w:rsidR="00D0526B" w:rsidRDefault="00A419F6" w:rsidP="00FA653C">
      <w:pPr>
        <w:spacing w:after="0" w:line="240" w:lineRule="auto"/>
        <w:jc w:val="both"/>
        <w:rPr>
          <w:rFonts w:ascii="Arial" w:hAnsi="Arial" w:cs="Arial"/>
          <w:sz w:val="20"/>
          <w:szCs w:val="20"/>
        </w:rPr>
      </w:pPr>
      <w:r w:rsidRPr="00C0562C">
        <w:rPr>
          <w:rFonts w:ascii="Arial" w:hAnsi="Arial" w:cs="Arial"/>
          <w:sz w:val="20"/>
          <w:szCs w:val="20"/>
        </w:rPr>
        <w:t xml:space="preserve">Further research work was conducted to </w:t>
      </w:r>
      <w:r w:rsidR="002A491E" w:rsidRPr="00C0562C">
        <w:rPr>
          <w:rFonts w:ascii="Arial" w:hAnsi="Arial" w:cs="Arial"/>
          <w:sz w:val="20"/>
          <w:szCs w:val="20"/>
        </w:rPr>
        <w:t xml:space="preserve">test the </w:t>
      </w:r>
      <w:r w:rsidR="00A45646">
        <w:rPr>
          <w:rFonts w:ascii="Arial" w:hAnsi="Arial" w:cs="Arial"/>
          <w:sz w:val="20"/>
          <w:szCs w:val="20"/>
        </w:rPr>
        <w:t xml:space="preserve">incorporation of </w:t>
      </w:r>
      <w:r w:rsidRPr="00C0562C">
        <w:rPr>
          <w:rFonts w:ascii="Arial" w:hAnsi="Arial" w:cs="Arial"/>
          <w:sz w:val="20"/>
          <w:szCs w:val="20"/>
        </w:rPr>
        <w:t>D</w:t>
      </w:r>
      <w:r w:rsidR="00906A57" w:rsidRPr="00C0562C">
        <w:rPr>
          <w:rFonts w:ascii="Arial" w:hAnsi="Arial" w:cs="Arial"/>
          <w:sz w:val="20"/>
          <w:szCs w:val="20"/>
        </w:rPr>
        <w:t xml:space="preserve">VLA data </w:t>
      </w:r>
      <w:r w:rsidR="002A491E" w:rsidRPr="00C0562C">
        <w:rPr>
          <w:rFonts w:ascii="Arial" w:hAnsi="Arial" w:cs="Arial"/>
          <w:sz w:val="20"/>
          <w:szCs w:val="20"/>
        </w:rPr>
        <w:t>online transactions to apply for or renew a driving licence as a covariate in the Willingness model</w:t>
      </w:r>
      <w:r w:rsidR="00C8654A">
        <w:rPr>
          <w:rFonts w:ascii="Arial" w:hAnsi="Arial" w:cs="Arial"/>
          <w:sz w:val="20"/>
          <w:szCs w:val="20"/>
        </w:rPr>
        <w:t xml:space="preserve"> (</w:t>
      </w:r>
      <w:r w:rsidR="00667E04">
        <w:rPr>
          <w:rFonts w:ascii="Arial" w:hAnsi="Arial" w:cs="Arial"/>
          <w:sz w:val="20"/>
          <w:szCs w:val="20"/>
        </w:rPr>
        <w:t xml:space="preserve">to predict </w:t>
      </w:r>
      <w:r w:rsidR="00C8654A">
        <w:rPr>
          <w:rFonts w:ascii="Arial" w:hAnsi="Arial" w:cs="Arial"/>
          <w:sz w:val="20"/>
          <w:szCs w:val="20"/>
        </w:rPr>
        <w:t>response/non-response by day 10 after census day)</w:t>
      </w:r>
      <w:r w:rsidR="002A491E" w:rsidRPr="00C0562C">
        <w:rPr>
          <w:rFonts w:ascii="Arial" w:hAnsi="Arial" w:cs="Arial"/>
          <w:sz w:val="20"/>
          <w:szCs w:val="20"/>
        </w:rPr>
        <w:t xml:space="preserve">. </w:t>
      </w:r>
      <w:r w:rsidRPr="00C0562C">
        <w:rPr>
          <w:rFonts w:ascii="Arial" w:hAnsi="Arial" w:cs="Arial"/>
          <w:sz w:val="20"/>
          <w:szCs w:val="20"/>
        </w:rPr>
        <w:t xml:space="preserve">The results did not show an improvement to the previous model. </w:t>
      </w:r>
      <w:r w:rsidR="00D0526B">
        <w:rPr>
          <w:rFonts w:ascii="Arial" w:hAnsi="Arial" w:cs="Arial"/>
          <w:sz w:val="20"/>
          <w:szCs w:val="20"/>
        </w:rPr>
        <w:t>A</w:t>
      </w:r>
      <w:r w:rsidR="003F3C48">
        <w:rPr>
          <w:rFonts w:ascii="Arial" w:hAnsi="Arial" w:cs="Arial"/>
          <w:sz w:val="20"/>
          <w:szCs w:val="20"/>
        </w:rPr>
        <w:t xml:space="preserve">nnex A presents </w:t>
      </w:r>
      <w:r w:rsidR="00D0526B">
        <w:rPr>
          <w:rFonts w:ascii="Arial" w:hAnsi="Arial" w:cs="Arial"/>
          <w:sz w:val="20"/>
          <w:szCs w:val="20"/>
        </w:rPr>
        <w:t xml:space="preserve">the parameters of the model and a comparison with the parameters given by the previous model. </w:t>
      </w:r>
    </w:p>
    <w:p w14:paraId="5D53800C" w14:textId="77777777" w:rsidR="004C3DC3" w:rsidRPr="00C0562C" w:rsidRDefault="004C3DC3" w:rsidP="00FA653C">
      <w:pPr>
        <w:spacing w:after="0" w:line="240" w:lineRule="auto"/>
        <w:ind w:left="415"/>
        <w:jc w:val="both"/>
        <w:rPr>
          <w:rFonts w:ascii="Arial" w:hAnsi="Arial" w:cs="Arial"/>
          <w:sz w:val="20"/>
          <w:szCs w:val="20"/>
        </w:rPr>
      </w:pPr>
    </w:p>
    <w:p w14:paraId="676430B0" w14:textId="77777777" w:rsidR="00FA653C" w:rsidRDefault="00E63643" w:rsidP="00FA653C">
      <w:pPr>
        <w:pStyle w:val="ListParagraph"/>
        <w:numPr>
          <w:ilvl w:val="0"/>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ONS work</w:t>
      </w:r>
      <w:r w:rsidR="00CB4407" w:rsidRPr="00C0562C">
        <w:rPr>
          <w:rFonts w:ascii="Arial" w:hAnsi="Arial" w:cs="Arial"/>
          <w:b/>
          <w:color w:val="365F91" w:themeColor="accent1" w:themeShade="BF"/>
          <w:sz w:val="20"/>
          <w:szCs w:val="20"/>
        </w:rPr>
        <w:t xml:space="preserve"> to increase responses to surveys and to the 2021 Census</w:t>
      </w:r>
    </w:p>
    <w:p w14:paraId="09ACB219" w14:textId="77777777" w:rsidR="00E63643" w:rsidRPr="00FA653C" w:rsidRDefault="00E63643" w:rsidP="00FA653C">
      <w:pPr>
        <w:spacing w:after="0" w:line="240" w:lineRule="auto"/>
        <w:jc w:val="both"/>
        <w:rPr>
          <w:rFonts w:ascii="Arial" w:hAnsi="Arial" w:cs="Arial"/>
          <w:b/>
          <w:color w:val="365F91" w:themeColor="accent1" w:themeShade="BF"/>
          <w:sz w:val="20"/>
          <w:szCs w:val="20"/>
        </w:rPr>
      </w:pPr>
      <w:r w:rsidRPr="00FA653C">
        <w:rPr>
          <w:rFonts w:ascii="Arial" w:hAnsi="Arial" w:cs="Arial"/>
          <w:b/>
          <w:color w:val="365F91" w:themeColor="accent1" w:themeShade="BF"/>
          <w:sz w:val="20"/>
          <w:szCs w:val="20"/>
        </w:rPr>
        <w:t xml:space="preserve"> </w:t>
      </w:r>
    </w:p>
    <w:p w14:paraId="41391A9C" w14:textId="77777777" w:rsidR="001837E5" w:rsidRDefault="00E63643" w:rsidP="00FA653C">
      <w:pPr>
        <w:spacing w:after="0" w:line="240" w:lineRule="auto"/>
        <w:jc w:val="both"/>
        <w:rPr>
          <w:rFonts w:ascii="Arial" w:hAnsi="Arial" w:cs="Arial"/>
          <w:sz w:val="20"/>
          <w:szCs w:val="20"/>
        </w:rPr>
      </w:pPr>
      <w:r w:rsidRPr="00C0562C">
        <w:rPr>
          <w:rFonts w:ascii="Arial" w:hAnsi="Arial" w:cs="Arial"/>
          <w:sz w:val="20"/>
          <w:szCs w:val="20"/>
        </w:rPr>
        <w:t>Section 3.1 presents an update on ONS recent work to increase response rates to surveys</w:t>
      </w:r>
      <w:r w:rsidR="00CB4407" w:rsidRPr="00C0562C">
        <w:rPr>
          <w:rFonts w:ascii="Arial" w:hAnsi="Arial" w:cs="Arial"/>
          <w:sz w:val="20"/>
          <w:szCs w:val="20"/>
        </w:rPr>
        <w:t xml:space="preserve"> and Section 3.2 presents an update on ONS strategy to increase responses to the 2021 Census</w:t>
      </w:r>
      <w:r w:rsidRPr="00C0562C">
        <w:rPr>
          <w:rFonts w:ascii="Arial" w:hAnsi="Arial" w:cs="Arial"/>
          <w:sz w:val="20"/>
          <w:szCs w:val="20"/>
        </w:rPr>
        <w:t xml:space="preserve">. It also </w:t>
      </w:r>
      <w:r w:rsidR="00CB4407" w:rsidRPr="00C0562C">
        <w:rPr>
          <w:rFonts w:ascii="Arial" w:hAnsi="Arial" w:cs="Arial"/>
          <w:sz w:val="20"/>
          <w:szCs w:val="20"/>
        </w:rPr>
        <w:t xml:space="preserve">provides an update on how </w:t>
      </w:r>
      <w:r w:rsidRPr="00C0562C">
        <w:rPr>
          <w:rFonts w:ascii="Arial" w:hAnsi="Arial" w:cs="Arial"/>
          <w:sz w:val="20"/>
          <w:szCs w:val="20"/>
        </w:rPr>
        <w:t xml:space="preserve">international practice has been taken into consideration in the </w:t>
      </w:r>
      <w:r w:rsidR="00CB4407" w:rsidRPr="00C0562C">
        <w:rPr>
          <w:rFonts w:ascii="Arial" w:hAnsi="Arial" w:cs="Arial"/>
          <w:sz w:val="20"/>
          <w:szCs w:val="20"/>
        </w:rPr>
        <w:t xml:space="preserve">development of the HtC index. </w:t>
      </w:r>
      <w:r w:rsidRPr="00C0562C">
        <w:rPr>
          <w:rFonts w:ascii="Arial" w:hAnsi="Arial" w:cs="Arial"/>
          <w:sz w:val="20"/>
          <w:szCs w:val="20"/>
        </w:rPr>
        <w:t xml:space="preserve"> </w:t>
      </w:r>
    </w:p>
    <w:p w14:paraId="46BEAEFC" w14:textId="77777777" w:rsidR="00FA653C" w:rsidRPr="00C0562C" w:rsidRDefault="00FA653C" w:rsidP="00FA653C">
      <w:pPr>
        <w:spacing w:after="0" w:line="240" w:lineRule="auto"/>
        <w:jc w:val="both"/>
        <w:rPr>
          <w:rFonts w:ascii="Arial" w:hAnsi="Arial" w:cs="Arial"/>
          <w:sz w:val="20"/>
          <w:szCs w:val="20"/>
        </w:rPr>
      </w:pPr>
    </w:p>
    <w:p w14:paraId="1C4BCAFF" w14:textId="77777777" w:rsidR="003176FF" w:rsidRPr="00C0562C" w:rsidRDefault="00E63643" w:rsidP="001837E5">
      <w:pPr>
        <w:pStyle w:val="ListParagraph"/>
        <w:numPr>
          <w:ilvl w:val="1"/>
          <w:numId w:val="8"/>
        </w:numPr>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ON</w:t>
      </w:r>
      <w:r w:rsidR="003176FF" w:rsidRPr="00C0562C">
        <w:rPr>
          <w:rFonts w:ascii="Arial" w:hAnsi="Arial" w:cs="Arial"/>
          <w:b/>
          <w:color w:val="365F91" w:themeColor="accent1" w:themeShade="BF"/>
          <w:sz w:val="20"/>
          <w:szCs w:val="20"/>
        </w:rPr>
        <w:t xml:space="preserve">S </w:t>
      </w:r>
      <w:r w:rsidR="00C72D54" w:rsidRPr="00C0562C">
        <w:rPr>
          <w:rFonts w:ascii="Arial" w:hAnsi="Arial" w:cs="Arial"/>
          <w:b/>
          <w:color w:val="365F91" w:themeColor="accent1" w:themeShade="BF"/>
          <w:sz w:val="20"/>
          <w:szCs w:val="20"/>
        </w:rPr>
        <w:t>work t</w:t>
      </w:r>
      <w:r w:rsidR="003176FF" w:rsidRPr="00C0562C">
        <w:rPr>
          <w:rFonts w:ascii="Arial" w:hAnsi="Arial" w:cs="Arial"/>
          <w:b/>
          <w:color w:val="365F91" w:themeColor="accent1" w:themeShade="BF"/>
          <w:sz w:val="20"/>
          <w:szCs w:val="20"/>
        </w:rPr>
        <w:t xml:space="preserve">o increase response rates to </w:t>
      </w:r>
      <w:r w:rsidR="004C3739" w:rsidRPr="00C0562C">
        <w:rPr>
          <w:rFonts w:ascii="Arial" w:hAnsi="Arial" w:cs="Arial"/>
          <w:b/>
          <w:color w:val="365F91" w:themeColor="accent1" w:themeShade="BF"/>
          <w:sz w:val="20"/>
          <w:szCs w:val="20"/>
        </w:rPr>
        <w:t>su</w:t>
      </w:r>
      <w:r w:rsidR="003176FF" w:rsidRPr="00C0562C">
        <w:rPr>
          <w:rFonts w:ascii="Arial" w:hAnsi="Arial" w:cs="Arial"/>
          <w:b/>
          <w:color w:val="365F91" w:themeColor="accent1" w:themeShade="BF"/>
          <w:sz w:val="20"/>
          <w:szCs w:val="20"/>
        </w:rPr>
        <w:t>rveys</w:t>
      </w:r>
      <w:r w:rsidR="004C3739" w:rsidRPr="00C0562C">
        <w:rPr>
          <w:rFonts w:ascii="Arial" w:hAnsi="Arial" w:cs="Arial"/>
          <w:b/>
          <w:color w:val="365F91" w:themeColor="accent1" w:themeShade="BF"/>
          <w:sz w:val="20"/>
          <w:szCs w:val="20"/>
        </w:rPr>
        <w:t xml:space="preserve"> </w:t>
      </w:r>
    </w:p>
    <w:p w14:paraId="22B75D20" w14:textId="43434281" w:rsidR="0084105A" w:rsidRDefault="004E7203" w:rsidP="00CC36A9">
      <w:pPr>
        <w:spacing w:after="0" w:line="240" w:lineRule="auto"/>
        <w:jc w:val="both"/>
        <w:rPr>
          <w:rFonts w:ascii="Arial" w:hAnsi="Arial" w:cs="Arial"/>
          <w:sz w:val="20"/>
          <w:szCs w:val="20"/>
        </w:rPr>
      </w:pPr>
      <w:r w:rsidRPr="00C0562C">
        <w:rPr>
          <w:rFonts w:ascii="Arial" w:hAnsi="Arial" w:cs="Arial"/>
          <w:sz w:val="20"/>
          <w:szCs w:val="20"/>
        </w:rPr>
        <w:t>ONS has been investing in transforming its surveys</w:t>
      </w:r>
      <w:r w:rsidR="003E28B5" w:rsidRPr="00C0562C">
        <w:rPr>
          <w:rFonts w:ascii="Arial" w:hAnsi="Arial" w:cs="Arial"/>
          <w:sz w:val="20"/>
          <w:szCs w:val="20"/>
        </w:rPr>
        <w:t xml:space="preserve"> and is not alone in its pursuit of adding online data collection to its portfolio</w:t>
      </w:r>
      <w:r w:rsidRPr="00C0562C">
        <w:rPr>
          <w:rFonts w:ascii="Arial" w:hAnsi="Arial" w:cs="Arial"/>
          <w:sz w:val="20"/>
          <w:szCs w:val="20"/>
        </w:rPr>
        <w:t xml:space="preserve">. </w:t>
      </w:r>
      <w:r w:rsidR="003E28B5" w:rsidRPr="00C0562C">
        <w:rPr>
          <w:rFonts w:ascii="Arial" w:hAnsi="Arial" w:cs="Arial"/>
          <w:sz w:val="20"/>
          <w:szCs w:val="20"/>
        </w:rPr>
        <w:t>This means that our surveys will be onl</w:t>
      </w:r>
      <w:r w:rsidR="006001F8" w:rsidRPr="00C0562C">
        <w:rPr>
          <w:rFonts w:ascii="Arial" w:hAnsi="Arial" w:cs="Arial"/>
          <w:sz w:val="20"/>
          <w:szCs w:val="20"/>
        </w:rPr>
        <w:t xml:space="preserve">ine first, with traditional use </w:t>
      </w:r>
      <w:r w:rsidR="003E28B5" w:rsidRPr="00C0562C">
        <w:rPr>
          <w:rFonts w:ascii="Arial" w:hAnsi="Arial" w:cs="Arial"/>
          <w:sz w:val="20"/>
          <w:szCs w:val="20"/>
        </w:rPr>
        <w:t xml:space="preserve">for follow-up. The surveys are being transformed to ensure that data collection </w:t>
      </w:r>
      <w:r w:rsidR="006B5E59" w:rsidRPr="00C0562C">
        <w:rPr>
          <w:rFonts w:ascii="Arial" w:hAnsi="Arial" w:cs="Arial"/>
          <w:sz w:val="20"/>
          <w:szCs w:val="20"/>
        </w:rPr>
        <w:t>is</w:t>
      </w:r>
      <w:r w:rsidR="003E28B5" w:rsidRPr="00C0562C">
        <w:rPr>
          <w:rFonts w:ascii="Arial" w:hAnsi="Arial" w:cs="Arial"/>
          <w:sz w:val="20"/>
          <w:szCs w:val="20"/>
        </w:rPr>
        <w:t xml:space="preserve"> more efficient</w:t>
      </w:r>
      <w:r w:rsidR="006B5E59" w:rsidRPr="00C0562C">
        <w:rPr>
          <w:rFonts w:ascii="Arial" w:hAnsi="Arial" w:cs="Arial"/>
          <w:sz w:val="20"/>
          <w:szCs w:val="20"/>
        </w:rPr>
        <w:t>,</w:t>
      </w:r>
      <w:r w:rsidR="003E28B5" w:rsidRPr="00C0562C">
        <w:rPr>
          <w:rFonts w:ascii="Arial" w:hAnsi="Arial" w:cs="Arial"/>
          <w:sz w:val="20"/>
          <w:szCs w:val="20"/>
        </w:rPr>
        <w:t xml:space="preserve"> and the effort required by the person responding is reduced.</w:t>
      </w:r>
    </w:p>
    <w:p w14:paraId="54CFCEF4" w14:textId="77777777" w:rsidR="00C14976" w:rsidRPr="00C0562C" w:rsidRDefault="00C14976" w:rsidP="00CC36A9">
      <w:pPr>
        <w:spacing w:after="0" w:line="240" w:lineRule="auto"/>
        <w:jc w:val="both"/>
        <w:rPr>
          <w:rFonts w:ascii="Arial" w:hAnsi="Arial" w:cs="Arial"/>
          <w:sz w:val="20"/>
          <w:szCs w:val="20"/>
        </w:rPr>
      </w:pPr>
    </w:p>
    <w:p w14:paraId="749D0DD0" w14:textId="65D88535" w:rsidR="00C14976" w:rsidRDefault="003E28B5" w:rsidP="00CC36A9">
      <w:pPr>
        <w:spacing w:after="0" w:line="240" w:lineRule="auto"/>
        <w:jc w:val="both"/>
        <w:rPr>
          <w:rFonts w:ascii="Arial" w:hAnsi="Arial" w:cs="Arial"/>
          <w:sz w:val="20"/>
          <w:szCs w:val="20"/>
        </w:rPr>
      </w:pPr>
      <w:r w:rsidRPr="00C0562C">
        <w:rPr>
          <w:rFonts w:ascii="Arial" w:hAnsi="Arial" w:cs="Arial"/>
          <w:sz w:val="20"/>
          <w:szCs w:val="20"/>
        </w:rPr>
        <w:t xml:space="preserve">A more </w:t>
      </w:r>
      <w:r w:rsidR="004E7203" w:rsidRPr="00C0562C">
        <w:rPr>
          <w:rFonts w:ascii="Arial" w:hAnsi="Arial" w:cs="Arial"/>
          <w:sz w:val="20"/>
          <w:szCs w:val="20"/>
        </w:rPr>
        <w:t xml:space="preserve">‘User- Centred Design’ </w:t>
      </w:r>
      <w:r w:rsidR="006001F8" w:rsidRPr="00C0562C">
        <w:rPr>
          <w:rFonts w:ascii="Arial" w:hAnsi="Arial" w:cs="Arial"/>
          <w:sz w:val="20"/>
          <w:szCs w:val="20"/>
        </w:rPr>
        <w:t xml:space="preserve">is being developed. </w:t>
      </w:r>
      <w:r w:rsidR="0084105A" w:rsidRPr="00C0562C">
        <w:rPr>
          <w:rFonts w:ascii="Arial" w:hAnsi="Arial" w:cs="Arial"/>
          <w:sz w:val="20"/>
          <w:szCs w:val="20"/>
        </w:rPr>
        <w:t>Introducing self-completion means that we can no longer rely on highly trained interviewers to achieve response and to provide a good experience. To address this, ONS is fundamentally changing the design of its</w:t>
      </w:r>
      <w:r w:rsidR="00061F65" w:rsidRPr="00C0562C">
        <w:rPr>
          <w:rFonts w:ascii="Arial" w:hAnsi="Arial" w:cs="Arial"/>
          <w:sz w:val="20"/>
          <w:szCs w:val="20"/>
        </w:rPr>
        <w:t xml:space="preserve"> surveys.</w:t>
      </w:r>
      <w:r w:rsidR="0084105A" w:rsidRPr="00C0562C">
        <w:rPr>
          <w:rFonts w:ascii="Arial" w:hAnsi="Arial" w:cs="Arial"/>
          <w:sz w:val="20"/>
          <w:szCs w:val="20"/>
        </w:rPr>
        <w:t xml:space="preserve"> Below is a summary of some of the changes being made to ONS surveys in an attempt to address the shift to the online collection and increase response rates.</w:t>
      </w:r>
    </w:p>
    <w:p w14:paraId="3E7B3D83" w14:textId="77777777" w:rsidR="00C14976" w:rsidRPr="00C0562C" w:rsidRDefault="00C14976" w:rsidP="00CC36A9">
      <w:pPr>
        <w:spacing w:after="0" w:line="240" w:lineRule="auto"/>
        <w:jc w:val="both"/>
        <w:rPr>
          <w:rFonts w:ascii="Arial" w:hAnsi="Arial" w:cs="Arial"/>
          <w:sz w:val="20"/>
          <w:szCs w:val="20"/>
        </w:rPr>
      </w:pPr>
    </w:p>
    <w:p w14:paraId="0E039DD4" w14:textId="77777777" w:rsidR="0084105A" w:rsidRPr="00C0562C" w:rsidRDefault="0084105A" w:rsidP="00CC36A9">
      <w:pPr>
        <w:pStyle w:val="ListParagraph"/>
        <w:numPr>
          <w:ilvl w:val="0"/>
          <w:numId w:val="18"/>
        </w:numPr>
        <w:spacing w:after="0" w:line="240" w:lineRule="auto"/>
        <w:jc w:val="both"/>
        <w:rPr>
          <w:rFonts w:ascii="Arial" w:hAnsi="Arial" w:cs="Arial"/>
          <w:sz w:val="20"/>
          <w:szCs w:val="20"/>
        </w:rPr>
      </w:pPr>
      <w:r w:rsidRPr="00C0562C">
        <w:rPr>
          <w:rFonts w:ascii="Arial" w:hAnsi="Arial" w:cs="Arial"/>
          <w:sz w:val="20"/>
          <w:szCs w:val="20"/>
        </w:rPr>
        <w:t xml:space="preserve">Designing mobile first, ensuring surveys work on smartphones in the first instance. Constraining content to less screen space to make questions clear to respondents; </w:t>
      </w:r>
    </w:p>
    <w:p w14:paraId="3BCA7E32" w14:textId="77777777" w:rsidR="0084105A" w:rsidRPr="00C0562C" w:rsidRDefault="0084105A" w:rsidP="00CC36A9">
      <w:pPr>
        <w:pStyle w:val="ListParagraph"/>
        <w:numPr>
          <w:ilvl w:val="0"/>
          <w:numId w:val="18"/>
        </w:numPr>
        <w:spacing w:after="0" w:line="240" w:lineRule="auto"/>
        <w:jc w:val="both"/>
        <w:rPr>
          <w:rFonts w:ascii="Arial" w:hAnsi="Arial" w:cs="Arial"/>
          <w:sz w:val="20"/>
          <w:szCs w:val="20"/>
        </w:rPr>
      </w:pPr>
      <w:r w:rsidRPr="00C0562C">
        <w:rPr>
          <w:rFonts w:ascii="Arial" w:hAnsi="Arial" w:cs="Arial"/>
          <w:sz w:val="20"/>
          <w:szCs w:val="20"/>
        </w:rPr>
        <w:t xml:space="preserve">Optimising questionnaire content; </w:t>
      </w:r>
    </w:p>
    <w:p w14:paraId="62581622" w14:textId="77777777" w:rsidR="0084105A" w:rsidRPr="00C0562C" w:rsidRDefault="0084105A" w:rsidP="00CC36A9">
      <w:pPr>
        <w:pStyle w:val="ListParagraph"/>
        <w:numPr>
          <w:ilvl w:val="0"/>
          <w:numId w:val="18"/>
        </w:numPr>
        <w:spacing w:after="0" w:line="240" w:lineRule="auto"/>
        <w:jc w:val="both"/>
        <w:rPr>
          <w:rFonts w:ascii="Arial" w:hAnsi="Arial" w:cs="Arial"/>
          <w:sz w:val="20"/>
          <w:szCs w:val="20"/>
        </w:rPr>
      </w:pPr>
      <w:r w:rsidRPr="00C0562C">
        <w:rPr>
          <w:rFonts w:ascii="Arial" w:hAnsi="Arial" w:cs="Arial"/>
          <w:sz w:val="20"/>
          <w:szCs w:val="20"/>
        </w:rPr>
        <w:t>Looking at how a respondent thinks, and how they conceptualise a topic. This has resulted in reordering the questionnaire content to help respondents;</w:t>
      </w:r>
    </w:p>
    <w:p w14:paraId="68560B9D" w14:textId="77777777" w:rsidR="0084105A" w:rsidRPr="00C0562C" w:rsidRDefault="0084105A" w:rsidP="00CC36A9">
      <w:pPr>
        <w:pStyle w:val="ListParagraph"/>
        <w:numPr>
          <w:ilvl w:val="0"/>
          <w:numId w:val="18"/>
        </w:numPr>
        <w:spacing w:after="0" w:line="240" w:lineRule="auto"/>
        <w:jc w:val="both"/>
        <w:rPr>
          <w:rFonts w:ascii="Arial" w:hAnsi="Arial" w:cs="Arial"/>
          <w:sz w:val="20"/>
          <w:szCs w:val="20"/>
        </w:rPr>
      </w:pPr>
      <w:r w:rsidRPr="00C0562C">
        <w:rPr>
          <w:rFonts w:ascii="Arial" w:hAnsi="Arial" w:cs="Arial"/>
          <w:sz w:val="20"/>
          <w:szCs w:val="20"/>
        </w:rPr>
        <w:t>Learning from interviewers and seeking their assurance on our prototypes; our transformation starts with them. We speak with them first to learn about the current problems with the wording and flow and look to address those in our redesigns;</w:t>
      </w:r>
    </w:p>
    <w:p w14:paraId="48086A24" w14:textId="77777777" w:rsidR="0084105A" w:rsidRPr="00C0562C" w:rsidRDefault="0084105A" w:rsidP="00CC36A9">
      <w:pPr>
        <w:pStyle w:val="ListParagraph"/>
        <w:numPr>
          <w:ilvl w:val="0"/>
          <w:numId w:val="18"/>
        </w:numPr>
        <w:spacing w:after="0" w:line="240" w:lineRule="auto"/>
        <w:jc w:val="both"/>
        <w:rPr>
          <w:rFonts w:ascii="Arial" w:hAnsi="Arial" w:cs="Arial"/>
          <w:sz w:val="20"/>
          <w:szCs w:val="20"/>
        </w:rPr>
      </w:pPr>
      <w:r w:rsidRPr="00C0562C">
        <w:rPr>
          <w:rFonts w:ascii="Arial" w:hAnsi="Arial" w:cs="Arial"/>
          <w:sz w:val="20"/>
          <w:szCs w:val="20"/>
        </w:rPr>
        <w:lastRenderedPageBreak/>
        <w:t>Using a conversational tone and using words that respondents would understand. We are also writing for the avera</w:t>
      </w:r>
      <w:r w:rsidR="00FE63B2">
        <w:rPr>
          <w:rFonts w:ascii="Arial" w:hAnsi="Arial" w:cs="Arial"/>
          <w:sz w:val="20"/>
          <w:szCs w:val="20"/>
        </w:rPr>
        <w:t>ge reading age of the UK public;</w:t>
      </w:r>
      <w:r w:rsidRPr="00C0562C">
        <w:rPr>
          <w:rFonts w:ascii="Arial" w:hAnsi="Arial" w:cs="Arial"/>
          <w:sz w:val="20"/>
          <w:szCs w:val="20"/>
        </w:rPr>
        <w:t xml:space="preserve"> </w:t>
      </w:r>
    </w:p>
    <w:p w14:paraId="05DCB455" w14:textId="065B1CDE" w:rsidR="0082606E" w:rsidRDefault="0084105A" w:rsidP="00CC36A9">
      <w:pPr>
        <w:pStyle w:val="ListParagraph"/>
        <w:numPr>
          <w:ilvl w:val="0"/>
          <w:numId w:val="18"/>
        </w:numPr>
        <w:spacing w:after="0" w:line="240" w:lineRule="auto"/>
        <w:ind w:left="714" w:hanging="357"/>
        <w:jc w:val="both"/>
        <w:rPr>
          <w:rFonts w:ascii="Arial" w:hAnsi="Arial" w:cs="Arial"/>
          <w:sz w:val="20"/>
          <w:szCs w:val="20"/>
        </w:rPr>
      </w:pPr>
      <w:r w:rsidRPr="00C0562C">
        <w:rPr>
          <w:rFonts w:ascii="Arial" w:hAnsi="Arial" w:cs="Arial"/>
          <w:sz w:val="20"/>
          <w:szCs w:val="20"/>
        </w:rPr>
        <w:t>Using behavioural insights to design respondent materials. We only include content that is needed by a respondent</w:t>
      </w:r>
      <w:r w:rsidR="0082606E" w:rsidRPr="00C0562C">
        <w:rPr>
          <w:rFonts w:ascii="Arial" w:hAnsi="Arial" w:cs="Arial"/>
          <w:sz w:val="20"/>
          <w:szCs w:val="20"/>
        </w:rPr>
        <w:t xml:space="preserve">. Our </w:t>
      </w:r>
      <w:r w:rsidRPr="00C0562C">
        <w:rPr>
          <w:rFonts w:ascii="Arial" w:hAnsi="Arial" w:cs="Arial"/>
          <w:sz w:val="20"/>
          <w:szCs w:val="20"/>
        </w:rPr>
        <w:t>testing has revealed that less is more</w:t>
      </w:r>
      <w:r w:rsidR="0082606E" w:rsidRPr="00C0562C">
        <w:rPr>
          <w:rFonts w:ascii="Arial" w:hAnsi="Arial" w:cs="Arial"/>
          <w:sz w:val="20"/>
          <w:szCs w:val="20"/>
        </w:rPr>
        <w:t xml:space="preserve"> (e.g. </w:t>
      </w:r>
      <w:r w:rsidRPr="00C0562C">
        <w:rPr>
          <w:rFonts w:ascii="Arial" w:hAnsi="Arial" w:cs="Arial"/>
          <w:sz w:val="20"/>
          <w:szCs w:val="20"/>
        </w:rPr>
        <w:t>shorte</w:t>
      </w:r>
      <w:r w:rsidR="0082606E" w:rsidRPr="00C0562C">
        <w:rPr>
          <w:rFonts w:ascii="Arial" w:hAnsi="Arial" w:cs="Arial"/>
          <w:sz w:val="20"/>
          <w:szCs w:val="20"/>
        </w:rPr>
        <w:t>r materials are better received by users).</w:t>
      </w:r>
    </w:p>
    <w:p w14:paraId="706F277E" w14:textId="77777777" w:rsidR="00C14976" w:rsidRPr="00C14976" w:rsidRDefault="00C14976" w:rsidP="00C14976">
      <w:pPr>
        <w:spacing w:after="0" w:line="240" w:lineRule="auto"/>
        <w:jc w:val="both"/>
        <w:rPr>
          <w:rFonts w:ascii="Arial" w:hAnsi="Arial" w:cs="Arial"/>
          <w:sz w:val="20"/>
          <w:szCs w:val="20"/>
        </w:rPr>
      </w:pPr>
    </w:p>
    <w:p w14:paraId="7EFEDEC4" w14:textId="77777777" w:rsidR="003E28B5" w:rsidRPr="00C0562C" w:rsidRDefault="004E7203" w:rsidP="00061F65">
      <w:pPr>
        <w:spacing w:after="0" w:line="240" w:lineRule="auto"/>
        <w:jc w:val="both"/>
        <w:rPr>
          <w:rFonts w:ascii="Arial" w:hAnsi="Arial" w:cs="Arial"/>
          <w:sz w:val="20"/>
          <w:szCs w:val="20"/>
        </w:rPr>
      </w:pPr>
      <w:r w:rsidRPr="00C0562C">
        <w:rPr>
          <w:rFonts w:ascii="Arial" w:hAnsi="Arial" w:cs="Arial"/>
          <w:sz w:val="20"/>
          <w:szCs w:val="20"/>
        </w:rPr>
        <w:t xml:space="preserve">ONS </w:t>
      </w:r>
      <w:r w:rsidR="003E28B5" w:rsidRPr="00C0562C">
        <w:rPr>
          <w:rFonts w:ascii="Arial" w:hAnsi="Arial" w:cs="Arial"/>
          <w:color w:val="414042"/>
          <w:sz w:val="20"/>
          <w:szCs w:val="20"/>
          <w:lang w:val="en-US"/>
        </w:rPr>
        <w:t xml:space="preserve">is </w:t>
      </w:r>
      <w:r w:rsidR="006B5E59" w:rsidRPr="00C0562C">
        <w:rPr>
          <w:rFonts w:ascii="Arial" w:hAnsi="Arial" w:cs="Arial"/>
          <w:color w:val="414042"/>
          <w:sz w:val="20"/>
          <w:szCs w:val="20"/>
          <w:lang w:val="en-US"/>
        </w:rPr>
        <w:t xml:space="preserve">also </w:t>
      </w:r>
      <w:r w:rsidR="003E28B5" w:rsidRPr="00C0562C">
        <w:rPr>
          <w:rFonts w:ascii="Arial" w:hAnsi="Arial" w:cs="Arial"/>
          <w:color w:val="414042"/>
          <w:sz w:val="20"/>
          <w:szCs w:val="20"/>
          <w:lang w:val="en-US"/>
        </w:rPr>
        <w:t>heavily investing in its corporate services and infrastructure to deliver this transformation. This includes integrating our systems and sharing them across business areas – employing the principle of ‘build the thing once’.</w:t>
      </w:r>
      <w:r w:rsidR="005103BC" w:rsidRPr="00C0562C">
        <w:rPr>
          <w:rFonts w:ascii="Arial" w:hAnsi="Arial" w:cs="Arial"/>
          <w:color w:val="414042"/>
          <w:sz w:val="20"/>
          <w:szCs w:val="20"/>
          <w:lang w:val="en-US"/>
        </w:rPr>
        <w:t xml:space="preserve"> More information on how ONS is transforming its surveys is available in </w:t>
      </w:r>
      <w:r w:rsidR="00061F65" w:rsidRPr="00C0562C">
        <w:rPr>
          <w:rFonts w:ascii="Arial" w:hAnsi="Arial" w:cs="Arial"/>
          <w:color w:val="414042"/>
          <w:sz w:val="20"/>
          <w:szCs w:val="20"/>
          <w:lang w:val="en-US"/>
        </w:rPr>
        <w:t>an ONS recent publication (Wilson, 2018).</w:t>
      </w:r>
    </w:p>
    <w:p w14:paraId="12B506C2" w14:textId="77777777" w:rsidR="004E7203" w:rsidRPr="00C0562C" w:rsidRDefault="004E7203" w:rsidP="004E7203">
      <w:pPr>
        <w:spacing w:after="0"/>
        <w:jc w:val="both"/>
        <w:rPr>
          <w:rFonts w:ascii="Arial" w:hAnsi="Arial" w:cs="Arial"/>
          <w:sz w:val="20"/>
          <w:szCs w:val="20"/>
        </w:rPr>
      </w:pPr>
    </w:p>
    <w:p w14:paraId="45D0F633" w14:textId="77777777" w:rsidR="00525AAE" w:rsidRPr="00C0562C" w:rsidRDefault="00525AAE" w:rsidP="001837E5">
      <w:pPr>
        <w:pStyle w:val="ListParagraph"/>
        <w:numPr>
          <w:ilvl w:val="1"/>
          <w:numId w:val="8"/>
        </w:numPr>
        <w:spacing w:after="0"/>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 xml:space="preserve">ONS strategy to increase responses to the 2021 Census </w:t>
      </w:r>
    </w:p>
    <w:p w14:paraId="7C81E56E" w14:textId="77777777" w:rsidR="00AA3323" w:rsidRDefault="00AA3323" w:rsidP="00CC36A9">
      <w:pPr>
        <w:spacing w:after="0" w:line="240" w:lineRule="auto"/>
        <w:jc w:val="both"/>
        <w:rPr>
          <w:rFonts w:ascii="Arial" w:hAnsi="Arial" w:cs="Arial"/>
          <w:sz w:val="20"/>
          <w:szCs w:val="20"/>
        </w:rPr>
      </w:pPr>
    </w:p>
    <w:p w14:paraId="1E4BA42D" w14:textId="77777777" w:rsidR="009C3E54" w:rsidRPr="00C0562C" w:rsidRDefault="00AA3323" w:rsidP="00CC36A9">
      <w:pPr>
        <w:spacing w:after="0" w:line="240" w:lineRule="auto"/>
        <w:jc w:val="both"/>
        <w:rPr>
          <w:rFonts w:ascii="Arial" w:hAnsi="Arial" w:cs="Arial"/>
          <w:sz w:val="20"/>
          <w:szCs w:val="20"/>
        </w:rPr>
      </w:pPr>
      <w:r>
        <w:rPr>
          <w:rFonts w:ascii="Arial" w:hAnsi="Arial" w:cs="Arial"/>
          <w:sz w:val="20"/>
          <w:szCs w:val="20"/>
        </w:rPr>
        <w:t>ONS</w:t>
      </w:r>
      <w:r w:rsidR="00061F65" w:rsidRPr="00C0562C">
        <w:rPr>
          <w:rFonts w:ascii="Arial" w:hAnsi="Arial" w:cs="Arial"/>
          <w:sz w:val="20"/>
          <w:szCs w:val="20"/>
        </w:rPr>
        <w:t xml:space="preserve"> </w:t>
      </w:r>
      <w:r w:rsidR="00445103" w:rsidRPr="00C0562C">
        <w:rPr>
          <w:rFonts w:ascii="Arial" w:hAnsi="Arial" w:cs="Arial"/>
          <w:sz w:val="20"/>
          <w:szCs w:val="20"/>
        </w:rPr>
        <w:t xml:space="preserve">has </w:t>
      </w:r>
      <w:r w:rsidR="00061F65" w:rsidRPr="00C0562C">
        <w:rPr>
          <w:rFonts w:ascii="Arial" w:hAnsi="Arial" w:cs="Arial"/>
          <w:sz w:val="20"/>
          <w:szCs w:val="20"/>
        </w:rPr>
        <w:t>investigated responses</w:t>
      </w:r>
      <w:r w:rsidR="00445103" w:rsidRPr="00C0562C">
        <w:rPr>
          <w:rFonts w:ascii="Arial" w:hAnsi="Arial" w:cs="Arial"/>
          <w:sz w:val="20"/>
          <w:szCs w:val="20"/>
        </w:rPr>
        <w:t xml:space="preserve"> to </w:t>
      </w:r>
      <w:r w:rsidR="008B5642" w:rsidRPr="00C0562C">
        <w:rPr>
          <w:rFonts w:ascii="Arial" w:hAnsi="Arial" w:cs="Arial"/>
          <w:sz w:val="20"/>
          <w:szCs w:val="20"/>
        </w:rPr>
        <w:t>the latest</w:t>
      </w:r>
      <w:r w:rsidR="00445103" w:rsidRPr="00C0562C">
        <w:rPr>
          <w:rFonts w:ascii="Arial" w:hAnsi="Arial" w:cs="Arial"/>
          <w:sz w:val="20"/>
          <w:szCs w:val="20"/>
        </w:rPr>
        <w:t xml:space="preserve"> online censuses conducted in </w:t>
      </w:r>
      <w:r w:rsidR="00EA4BE5" w:rsidRPr="00C0562C">
        <w:rPr>
          <w:rFonts w:ascii="Arial" w:hAnsi="Arial" w:cs="Arial"/>
          <w:sz w:val="20"/>
          <w:szCs w:val="20"/>
        </w:rPr>
        <w:t>Australia</w:t>
      </w:r>
      <w:r w:rsidR="005D0994" w:rsidRPr="00C0562C">
        <w:rPr>
          <w:rFonts w:ascii="Arial" w:hAnsi="Arial" w:cs="Arial"/>
          <w:sz w:val="20"/>
          <w:szCs w:val="20"/>
        </w:rPr>
        <w:t xml:space="preserve"> </w:t>
      </w:r>
      <w:r w:rsidR="00F62387" w:rsidRPr="00C0562C">
        <w:rPr>
          <w:rFonts w:ascii="Arial" w:hAnsi="Arial" w:cs="Arial"/>
          <w:sz w:val="20"/>
          <w:szCs w:val="20"/>
        </w:rPr>
        <w:t>(Austral</w:t>
      </w:r>
      <w:r w:rsidR="000203BC" w:rsidRPr="00C0562C">
        <w:rPr>
          <w:rFonts w:ascii="Arial" w:hAnsi="Arial" w:cs="Arial"/>
          <w:sz w:val="20"/>
          <w:szCs w:val="20"/>
        </w:rPr>
        <w:t>ian Bureau of Statistics, 2016) and</w:t>
      </w:r>
      <w:r w:rsidR="0030491A" w:rsidRPr="00C0562C">
        <w:rPr>
          <w:rFonts w:ascii="Arial" w:hAnsi="Arial" w:cs="Arial"/>
          <w:sz w:val="20"/>
          <w:szCs w:val="20"/>
        </w:rPr>
        <w:t xml:space="preserve"> </w:t>
      </w:r>
      <w:r w:rsidR="005D0994" w:rsidRPr="00C0562C">
        <w:rPr>
          <w:rFonts w:ascii="Arial" w:hAnsi="Arial" w:cs="Arial"/>
          <w:sz w:val="20"/>
          <w:szCs w:val="20"/>
        </w:rPr>
        <w:t xml:space="preserve">Canada </w:t>
      </w:r>
      <w:r w:rsidR="00F62387" w:rsidRPr="00C0562C">
        <w:rPr>
          <w:rFonts w:ascii="Arial" w:hAnsi="Arial" w:cs="Arial"/>
          <w:sz w:val="20"/>
          <w:szCs w:val="20"/>
        </w:rPr>
        <w:t xml:space="preserve">(Statistics Canada, </w:t>
      </w:r>
      <w:r w:rsidR="005D0994" w:rsidRPr="00C0562C">
        <w:rPr>
          <w:rFonts w:ascii="Arial" w:hAnsi="Arial" w:cs="Arial"/>
          <w:sz w:val="20"/>
          <w:szCs w:val="20"/>
        </w:rPr>
        <w:t>2016</w:t>
      </w:r>
      <w:r w:rsidR="00F62387" w:rsidRPr="00C0562C">
        <w:rPr>
          <w:rFonts w:ascii="Arial" w:hAnsi="Arial" w:cs="Arial"/>
          <w:sz w:val="20"/>
          <w:szCs w:val="20"/>
        </w:rPr>
        <w:t>)</w:t>
      </w:r>
      <w:r w:rsidR="000203BC" w:rsidRPr="00C0562C">
        <w:rPr>
          <w:rFonts w:ascii="Arial" w:hAnsi="Arial" w:cs="Arial"/>
          <w:sz w:val="20"/>
          <w:szCs w:val="20"/>
        </w:rPr>
        <w:t xml:space="preserve">. It </w:t>
      </w:r>
      <w:r w:rsidR="003E2FC1" w:rsidRPr="00C0562C">
        <w:rPr>
          <w:rFonts w:ascii="Arial" w:hAnsi="Arial" w:cs="Arial"/>
          <w:sz w:val="20"/>
          <w:szCs w:val="20"/>
        </w:rPr>
        <w:t>also investigated</w:t>
      </w:r>
      <w:r w:rsidR="000203BC" w:rsidRPr="00C0562C">
        <w:rPr>
          <w:rFonts w:ascii="Arial" w:hAnsi="Arial" w:cs="Arial"/>
          <w:sz w:val="20"/>
          <w:szCs w:val="20"/>
        </w:rPr>
        <w:t xml:space="preserve"> </w:t>
      </w:r>
      <w:r w:rsidR="005D0994" w:rsidRPr="00C0562C">
        <w:rPr>
          <w:rFonts w:ascii="Arial" w:hAnsi="Arial" w:cs="Arial"/>
          <w:sz w:val="20"/>
          <w:szCs w:val="20"/>
        </w:rPr>
        <w:t>t</w:t>
      </w:r>
      <w:r w:rsidR="00EA4BE5" w:rsidRPr="00C0562C">
        <w:rPr>
          <w:rFonts w:ascii="Arial" w:hAnsi="Arial" w:cs="Arial"/>
          <w:sz w:val="20"/>
          <w:szCs w:val="20"/>
        </w:rPr>
        <w:t xml:space="preserve">he </w:t>
      </w:r>
      <w:r w:rsidR="005D0994" w:rsidRPr="00C0562C">
        <w:rPr>
          <w:rFonts w:ascii="Arial" w:hAnsi="Arial" w:cs="Arial"/>
          <w:sz w:val="20"/>
          <w:szCs w:val="20"/>
        </w:rPr>
        <w:t>U</w:t>
      </w:r>
      <w:r w:rsidR="00AC67A8" w:rsidRPr="00C0562C">
        <w:rPr>
          <w:rFonts w:ascii="Arial" w:hAnsi="Arial" w:cs="Arial"/>
          <w:sz w:val="20"/>
          <w:szCs w:val="20"/>
        </w:rPr>
        <w:t>nited States</w:t>
      </w:r>
      <w:r w:rsidR="005D0994" w:rsidRPr="00C0562C">
        <w:rPr>
          <w:rFonts w:ascii="Arial" w:hAnsi="Arial" w:cs="Arial"/>
          <w:sz w:val="20"/>
          <w:szCs w:val="20"/>
        </w:rPr>
        <w:t xml:space="preserve"> </w:t>
      </w:r>
      <w:r w:rsidR="00F62387" w:rsidRPr="00C0562C">
        <w:rPr>
          <w:rFonts w:ascii="Arial" w:hAnsi="Arial" w:cs="Arial"/>
          <w:sz w:val="20"/>
          <w:szCs w:val="20"/>
        </w:rPr>
        <w:t xml:space="preserve">annual planning database of indicators used to estimate areas/groups with low response scores </w:t>
      </w:r>
      <w:r w:rsidR="0073272F" w:rsidRPr="00C0562C">
        <w:rPr>
          <w:rFonts w:ascii="Arial" w:hAnsi="Arial" w:cs="Arial"/>
          <w:sz w:val="20"/>
          <w:szCs w:val="20"/>
        </w:rPr>
        <w:t xml:space="preserve">(LRS) </w:t>
      </w:r>
      <w:r w:rsidR="009C3E54" w:rsidRPr="00C0562C">
        <w:rPr>
          <w:rFonts w:ascii="Arial" w:hAnsi="Arial" w:cs="Arial"/>
          <w:sz w:val="20"/>
          <w:szCs w:val="20"/>
        </w:rPr>
        <w:t xml:space="preserve">which measures the perceived difficulty of counting groups and tract levels based on mailed-in self-response. </w:t>
      </w:r>
      <w:r w:rsidR="00390C29" w:rsidRPr="00C0562C">
        <w:rPr>
          <w:rFonts w:ascii="Arial" w:hAnsi="Arial" w:cs="Arial"/>
          <w:sz w:val="20"/>
          <w:szCs w:val="20"/>
        </w:rPr>
        <w:t xml:space="preserve">Of the </w:t>
      </w:r>
      <w:r w:rsidR="009C3E54" w:rsidRPr="00C0562C">
        <w:rPr>
          <w:rFonts w:ascii="Arial" w:hAnsi="Arial" w:cs="Arial"/>
          <w:sz w:val="20"/>
          <w:szCs w:val="20"/>
        </w:rPr>
        <w:t xml:space="preserve">25 LRS predictor variables, percentage of renters in </w:t>
      </w:r>
      <w:r w:rsidR="0073272F" w:rsidRPr="00C0562C">
        <w:rPr>
          <w:rFonts w:ascii="Arial" w:hAnsi="Arial" w:cs="Arial"/>
          <w:sz w:val="20"/>
          <w:szCs w:val="20"/>
        </w:rPr>
        <w:t>certain</w:t>
      </w:r>
      <w:r w:rsidR="009C3E54" w:rsidRPr="00C0562C">
        <w:rPr>
          <w:rFonts w:ascii="Arial" w:hAnsi="Arial" w:cs="Arial"/>
          <w:sz w:val="20"/>
          <w:szCs w:val="20"/>
        </w:rPr>
        <w:t xml:space="preserve"> group</w:t>
      </w:r>
      <w:r w:rsidR="0073272F" w:rsidRPr="00C0562C">
        <w:rPr>
          <w:rFonts w:ascii="Arial" w:hAnsi="Arial" w:cs="Arial"/>
          <w:sz w:val="20"/>
          <w:szCs w:val="20"/>
        </w:rPr>
        <w:t>s</w:t>
      </w:r>
      <w:r w:rsidR="009C3E54" w:rsidRPr="00C0562C">
        <w:rPr>
          <w:rFonts w:ascii="Arial" w:hAnsi="Arial" w:cs="Arial"/>
          <w:sz w:val="20"/>
          <w:szCs w:val="20"/>
        </w:rPr>
        <w:t xml:space="preserve">, percentage of people aged 18-24, and percentage of households headed by unmarried females </w:t>
      </w:r>
      <w:r w:rsidR="00390C29" w:rsidRPr="00C0562C">
        <w:rPr>
          <w:rFonts w:ascii="Arial" w:hAnsi="Arial" w:cs="Arial"/>
          <w:sz w:val="20"/>
          <w:szCs w:val="20"/>
        </w:rPr>
        <w:t>are</w:t>
      </w:r>
      <w:r w:rsidR="009C3E54" w:rsidRPr="00C0562C">
        <w:rPr>
          <w:rFonts w:ascii="Arial" w:hAnsi="Arial" w:cs="Arial"/>
          <w:sz w:val="20"/>
          <w:szCs w:val="20"/>
        </w:rPr>
        <w:t xml:space="preserve"> the highest predictors of low response rates</w:t>
      </w:r>
      <w:r w:rsidR="009D36E6" w:rsidRPr="00C0562C">
        <w:rPr>
          <w:rFonts w:ascii="Arial" w:hAnsi="Arial" w:cs="Arial"/>
          <w:sz w:val="20"/>
          <w:szCs w:val="20"/>
        </w:rPr>
        <w:t xml:space="preserve"> (US Bureau of Statistics, 2018).</w:t>
      </w:r>
      <w:r w:rsidR="00074675">
        <w:rPr>
          <w:rFonts w:ascii="Arial" w:hAnsi="Arial" w:cs="Arial"/>
          <w:sz w:val="20"/>
          <w:szCs w:val="20"/>
        </w:rPr>
        <w:t xml:space="preserve"> </w:t>
      </w:r>
    </w:p>
    <w:p w14:paraId="56E60586" w14:textId="77777777" w:rsidR="009C3E54" w:rsidRDefault="009C3E54" w:rsidP="00CC36A9">
      <w:pPr>
        <w:spacing w:after="0" w:line="240" w:lineRule="auto"/>
        <w:jc w:val="both"/>
        <w:rPr>
          <w:rFonts w:ascii="Arial" w:hAnsi="Arial" w:cs="Arial"/>
          <w:sz w:val="20"/>
          <w:szCs w:val="20"/>
        </w:rPr>
      </w:pPr>
    </w:p>
    <w:p w14:paraId="210F3EFB" w14:textId="6AFD56C5" w:rsidR="00B029F1" w:rsidRDefault="001579F8" w:rsidP="00CC36A9">
      <w:pPr>
        <w:spacing w:after="0" w:line="240" w:lineRule="auto"/>
        <w:jc w:val="both"/>
        <w:rPr>
          <w:rFonts w:ascii="Arial" w:hAnsi="Arial" w:cs="Arial"/>
          <w:sz w:val="20"/>
          <w:szCs w:val="20"/>
        </w:rPr>
      </w:pPr>
      <w:r>
        <w:rPr>
          <w:rFonts w:ascii="Arial" w:hAnsi="Arial" w:cs="Arial"/>
          <w:sz w:val="20"/>
          <w:szCs w:val="20"/>
        </w:rPr>
        <w:t xml:space="preserve">The results from the 2016 Australian census showed </w:t>
      </w:r>
      <w:r w:rsidR="00B8765F">
        <w:rPr>
          <w:rFonts w:ascii="Arial" w:hAnsi="Arial" w:cs="Arial"/>
          <w:sz w:val="20"/>
          <w:szCs w:val="20"/>
        </w:rPr>
        <w:t xml:space="preserve">that 59 per cent of the responses from </w:t>
      </w:r>
      <w:r w:rsidR="00B8765F" w:rsidRPr="00B641B9">
        <w:rPr>
          <w:rFonts w:ascii="Arial" w:hAnsi="Arial" w:cs="Arial"/>
          <w:sz w:val="20"/>
          <w:szCs w:val="20"/>
        </w:rPr>
        <w:t>occupied private dwellings were received online in 2016, up from</w:t>
      </w:r>
      <w:r w:rsidR="00B8765F">
        <w:rPr>
          <w:rFonts w:ascii="Arial" w:hAnsi="Arial" w:cs="Arial"/>
          <w:sz w:val="20"/>
          <w:szCs w:val="20"/>
        </w:rPr>
        <w:t xml:space="preserve"> </w:t>
      </w:r>
      <w:r w:rsidR="00B8765F" w:rsidRPr="00B641B9">
        <w:rPr>
          <w:rFonts w:ascii="Arial" w:hAnsi="Arial" w:cs="Arial"/>
          <w:sz w:val="20"/>
          <w:szCs w:val="20"/>
        </w:rPr>
        <w:t>34 per cent in 2011.</w:t>
      </w:r>
      <w:r w:rsidR="00B8765F">
        <w:rPr>
          <w:rFonts w:ascii="Arial" w:hAnsi="Arial" w:cs="Arial"/>
          <w:sz w:val="20"/>
          <w:szCs w:val="20"/>
        </w:rPr>
        <w:t xml:space="preserve"> There </w:t>
      </w:r>
      <w:r w:rsidR="003F4B31">
        <w:rPr>
          <w:rFonts w:ascii="Arial" w:hAnsi="Arial" w:cs="Arial"/>
          <w:sz w:val="20"/>
          <w:szCs w:val="20"/>
        </w:rPr>
        <w:t>were</w:t>
      </w:r>
      <w:r w:rsidR="00B8765F">
        <w:rPr>
          <w:rFonts w:ascii="Arial" w:hAnsi="Arial" w:cs="Arial"/>
          <w:sz w:val="20"/>
          <w:szCs w:val="20"/>
        </w:rPr>
        <w:t xml:space="preserve"> </w:t>
      </w:r>
      <w:r>
        <w:rPr>
          <w:rFonts w:ascii="Arial" w:hAnsi="Arial" w:cs="Arial"/>
          <w:sz w:val="20"/>
          <w:szCs w:val="20"/>
        </w:rPr>
        <w:t>small</w:t>
      </w:r>
      <w:r w:rsidR="00DD64B3" w:rsidRPr="00DD64B3">
        <w:rPr>
          <w:rFonts w:ascii="Arial" w:hAnsi="Arial" w:cs="Arial"/>
          <w:sz w:val="20"/>
          <w:szCs w:val="20"/>
        </w:rPr>
        <w:t xml:space="preserve"> difference</w:t>
      </w:r>
      <w:r w:rsidR="00B85E67">
        <w:rPr>
          <w:rFonts w:ascii="Arial" w:hAnsi="Arial" w:cs="Arial"/>
          <w:sz w:val="20"/>
          <w:szCs w:val="20"/>
        </w:rPr>
        <w:t>s</w:t>
      </w:r>
      <w:r w:rsidR="00DD64B3" w:rsidRPr="00DD64B3">
        <w:rPr>
          <w:rFonts w:ascii="Arial" w:hAnsi="Arial" w:cs="Arial"/>
          <w:sz w:val="20"/>
          <w:szCs w:val="20"/>
        </w:rPr>
        <w:t xml:space="preserve"> in online response rates between ages 0 – 49 years. The online response rate reduced in older age groups. However, </w:t>
      </w:r>
      <w:r w:rsidR="00786E81">
        <w:rPr>
          <w:rFonts w:ascii="Arial" w:hAnsi="Arial" w:cs="Arial"/>
          <w:sz w:val="20"/>
          <w:szCs w:val="20"/>
        </w:rPr>
        <w:t>52 per cent of people</w:t>
      </w:r>
      <w:r w:rsidR="00DD64B3" w:rsidRPr="00DD64B3">
        <w:rPr>
          <w:rFonts w:ascii="Arial" w:hAnsi="Arial" w:cs="Arial"/>
          <w:sz w:val="20"/>
          <w:szCs w:val="20"/>
        </w:rPr>
        <w:t xml:space="preserve"> aged 60-69 years participated online and more than one in four of those aged 80 years and over (28</w:t>
      </w:r>
      <w:r w:rsidR="00786E81">
        <w:rPr>
          <w:rFonts w:ascii="Arial" w:hAnsi="Arial" w:cs="Arial"/>
          <w:sz w:val="20"/>
          <w:szCs w:val="20"/>
        </w:rPr>
        <w:t xml:space="preserve"> per cent</w:t>
      </w:r>
      <w:r w:rsidR="00DD64B3" w:rsidRPr="00DD64B3">
        <w:rPr>
          <w:rFonts w:ascii="Arial" w:hAnsi="Arial" w:cs="Arial"/>
          <w:sz w:val="20"/>
          <w:szCs w:val="20"/>
        </w:rPr>
        <w:t>) were counted in an online form. People born outside Australia were more likely to participate online (</w:t>
      </w:r>
      <w:r w:rsidR="00061654">
        <w:rPr>
          <w:rFonts w:ascii="Arial" w:hAnsi="Arial" w:cs="Arial"/>
          <w:sz w:val="20"/>
          <w:szCs w:val="20"/>
        </w:rPr>
        <w:t>69</w:t>
      </w:r>
      <w:r w:rsidR="00786E81">
        <w:rPr>
          <w:rFonts w:ascii="Arial" w:hAnsi="Arial" w:cs="Arial"/>
          <w:sz w:val="20"/>
          <w:szCs w:val="20"/>
        </w:rPr>
        <w:t xml:space="preserve"> per cent</w:t>
      </w:r>
      <w:r w:rsidR="00DD64B3" w:rsidRPr="00DD64B3">
        <w:rPr>
          <w:rFonts w:ascii="Arial" w:hAnsi="Arial" w:cs="Arial"/>
          <w:sz w:val="20"/>
          <w:szCs w:val="20"/>
        </w:rPr>
        <w:t xml:space="preserve"> for those in private dwellings) than people born in Australia (61</w:t>
      </w:r>
      <w:r w:rsidR="00786E81">
        <w:rPr>
          <w:rFonts w:ascii="Arial" w:hAnsi="Arial" w:cs="Arial"/>
          <w:sz w:val="20"/>
          <w:szCs w:val="20"/>
        </w:rPr>
        <w:t xml:space="preserve"> per cent</w:t>
      </w:r>
      <w:r w:rsidR="00DD64B3" w:rsidRPr="00DD64B3">
        <w:rPr>
          <w:rFonts w:ascii="Arial" w:hAnsi="Arial" w:cs="Arial"/>
          <w:sz w:val="20"/>
          <w:szCs w:val="20"/>
        </w:rPr>
        <w:t xml:space="preserve">). </w:t>
      </w:r>
      <w:r w:rsidR="00EB3E4D">
        <w:rPr>
          <w:rFonts w:ascii="Arial" w:hAnsi="Arial" w:cs="Arial"/>
          <w:sz w:val="20"/>
          <w:szCs w:val="20"/>
        </w:rPr>
        <w:t>P</w:t>
      </w:r>
      <w:r w:rsidR="00EB3E4D" w:rsidRPr="00DD64B3">
        <w:rPr>
          <w:rFonts w:ascii="Arial" w:hAnsi="Arial" w:cs="Arial"/>
          <w:sz w:val="20"/>
          <w:szCs w:val="20"/>
        </w:rPr>
        <w:t xml:space="preserve">eople who spoke a language other than English and could not speak English at all were </w:t>
      </w:r>
      <w:r w:rsidR="00EB3E4D">
        <w:rPr>
          <w:rFonts w:ascii="Arial" w:hAnsi="Arial" w:cs="Arial"/>
          <w:sz w:val="20"/>
          <w:szCs w:val="20"/>
        </w:rPr>
        <w:t>more</w:t>
      </w:r>
      <w:r w:rsidR="00EB3E4D" w:rsidRPr="00DD64B3">
        <w:rPr>
          <w:rFonts w:ascii="Arial" w:hAnsi="Arial" w:cs="Arial"/>
          <w:sz w:val="20"/>
          <w:szCs w:val="20"/>
        </w:rPr>
        <w:t xml:space="preserve"> likely to complete the online form (</w:t>
      </w:r>
      <w:r w:rsidR="00EB3E4D">
        <w:rPr>
          <w:rFonts w:ascii="Arial" w:hAnsi="Arial" w:cs="Arial"/>
          <w:sz w:val="20"/>
          <w:szCs w:val="20"/>
        </w:rPr>
        <w:t>83</w:t>
      </w:r>
      <w:r w:rsidR="00786E81">
        <w:rPr>
          <w:rFonts w:ascii="Arial" w:hAnsi="Arial" w:cs="Arial"/>
          <w:sz w:val="20"/>
          <w:szCs w:val="20"/>
        </w:rPr>
        <w:t xml:space="preserve"> per cent</w:t>
      </w:r>
      <w:r w:rsidR="00EB3E4D" w:rsidRPr="00DD64B3">
        <w:rPr>
          <w:rFonts w:ascii="Arial" w:hAnsi="Arial" w:cs="Arial"/>
          <w:sz w:val="20"/>
          <w:szCs w:val="20"/>
        </w:rPr>
        <w:t>)</w:t>
      </w:r>
      <w:r w:rsidR="00EB3E4D">
        <w:rPr>
          <w:rFonts w:ascii="Arial" w:hAnsi="Arial" w:cs="Arial"/>
          <w:sz w:val="20"/>
          <w:szCs w:val="20"/>
        </w:rPr>
        <w:t xml:space="preserve"> than people </w:t>
      </w:r>
      <w:r w:rsidR="00DD64B3" w:rsidRPr="00DD64B3">
        <w:rPr>
          <w:rFonts w:ascii="Arial" w:hAnsi="Arial" w:cs="Arial"/>
          <w:sz w:val="20"/>
          <w:szCs w:val="20"/>
        </w:rPr>
        <w:t>who only spoke English at home</w:t>
      </w:r>
      <w:r w:rsidR="00EB3E4D">
        <w:rPr>
          <w:rFonts w:ascii="Arial" w:hAnsi="Arial" w:cs="Arial"/>
          <w:sz w:val="20"/>
          <w:szCs w:val="20"/>
        </w:rPr>
        <w:t xml:space="preserve"> (60</w:t>
      </w:r>
      <w:r w:rsidR="00786E81">
        <w:rPr>
          <w:rFonts w:ascii="Arial" w:hAnsi="Arial" w:cs="Arial"/>
          <w:sz w:val="20"/>
          <w:szCs w:val="20"/>
        </w:rPr>
        <w:t xml:space="preserve"> per cent</w:t>
      </w:r>
      <w:r w:rsidR="00EB3E4D">
        <w:rPr>
          <w:rFonts w:ascii="Arial" w:hAnsi="Arial" w:cs="Arial"/>
          <w:sz w:val="20"/>
          <w:szCs w:val="20"/>
        </w:rPr>
        <w:t>).</w:t>
      </w:r>
    </w:p>
    <w:p w14:paraId="13F6B3F6" w14:textId="77777777" w:rsidR="00C14976" w:rsidRPr="00C0562C" w:rsidRDefault="00C14976" w:rsidP="00CC36A9">
      <w:pPr>
        <w:spacing w:after="0" w:line="240" w:lineRule="auto"/>
        <w:jc w:val="both"/>
        <w:rPr>
          <w:rFonts w:ascii="Arial" w:hAnsi="Arial" w:cs="Arial"/>
          <w:sz w:val="20"/>
          <w:szCs w:val="20"/>
        </w:rPr>
      </w:pPr>
    </w:p>
    <w:p w14:paraId="60EFEFE9" w14:textId="77777777" w:rsidR="00445103" w:rsidRPr="00C0562C" w:rsidRDefault="007E7B01" w:rsidP="00CC36A9">
      <w:pPr>
        <w:spacing w:after="0" w:line="240" w:lineRule="auto"/>
        <w:jc w:val="both"/>
        <w:rPr>
          <w:rFonts w:ascii="Arial" w:hAnsi="Arial" w:cs="Arial"/>
          <w:sz w:val="20"/>
          <w:szCs w:val="20"/>
        </w:rPr>
      </w:pPr>
      <w:r w:rsidRPr="00C0562C">
        <w:rPr>
          <w:rFonts w:ascii="Arial" w:hAnsi="Arial" w:cs="Arial"/>
          <w:sz w:val="20"/>
          <w:szCs w:val="20"/>
        </w:rPr>
        <w:t>We</w:t>
      </w:r>
      <w:r w:rsidR="00445103" w:rsidRPr="00C0562C">
        <w:rPr>
          <w:rFonts w:ascii="Arial" w:hAnsi="Arial" w:cs="Arial"/>
          <w:sz w:val="20"/>
          <w:szCs w:val="20"/>
        </w:rPr>
        <w:t xml:space="preserve"> considered </w:t>
      </w:r>
      <w:r w:rsidR="008B5642" w:rsidRPr="00C0562C">
        <w:rPr>
          <w:rFonts w:ascii="Arial" w:hAnsi="Arial" w:cs="Arial"/>
          <w:sz w:val="20"/>
          <w:szCs w:val="20"/>
        </w:rPr>
        <w:t>i</w:t>
      </w:r>
      <w:r w:rsidR="00445103" w:rsidRPr="00C0562C">
        <w:rPr>
          <w:rFonts w:ascii="Arial" w:hAnsi="Arial" w:cs="Arial"/>
          <w:sz w:val="20"/>
          <w:szCs w:val="20"/>
        </w:rPr>
        <w:t xml:space="preserve">f their experience could be </w:t>
      </w:r>
      <w:r w:rsidR="00445103" w:rsidRPr="00C0562C">
        <w:rPr>
          <w:rFonts w:ascii="Arial" w:hAnsi="Arial" w:cs="Arial"/>
          <w:sz w:val="20"/>
          <w:szCs w:val="20"/>
          <w:lang w:val="en-US"/>
        </w:rPr>
        <w:t xml:space="preserve">applicable to the </w:t>
      </w:r>
      <w:r w:rsidR="008B5642" w:rsidRPr="00C0562C">
        <w:rPr>
          <w:rFonts w:ascii="Arial" w:hAnsi="Arial" w:cs="Arial"/>
          <w:sz w:val="20"/>
          <w:szCs w:val="20"/>
          <w:lang w:val="en-US"/>
        </w:rPr>
        <w:t xml:space="preserve">development of the </w:t>
      </w:r>
      <w:r w:rsidR="00445103" w:rsidRPr="00C0562C">
        <w:rPr>
          <w:rFonts w:ascii="Arial" w:hAnsi="Arial" w:cs="Arial"/>
          <w:sz w:val="20"/>
          <w:szCs w:val="20"/>
          <w:lang w:val="en-US"/>
        </w:rPr>
        <w:t xml:space="preserve">HtC index for the 2021 Census in </w:t>
      </w:r>
      <w:r w:rsidR="00445103" w:rsidRPr="00C0562C">
        <w:rPr>
          <w:rFonts w:ascii="Arial" w:hAnsi="Arial" w:cs="Arial"/>
          <w:sz w:val="20"/>
          <w:szCs w:val="20"/>
        </w:rPr>
        <w:t xml:space="preserve">England and Wales. </w:t>
      </w:r>
      <w:r w:rsidR="006740FA">
        <w:rPr>
          <w:rFonts w:ascii="Arial" w:hAnsi="Arial" w:cs="Arial"/>
          <w:sz w:val="20"/>
          <w:szCs w:val="20"/>
        </w:rPr>
        <w:t xml:space="preserve">Information from the Australian census and the planning </w:t>
      </w:r>
      <w:r w:rsidR="006740FA" w:rsidRPr="00C0562C">
        <w:rPr>
          <w:rFonts w:ascii="Arial" w:hAnsi="Arial" w:cs="Arial"/>
          <w:sz w:val="20"/>
          <w:szCs w:val="20"/>
        </w:rPr>
        <w:t xml:space="preserve">database of indicators </w:t>
      </w:r>
      <w:r w:rsidR="006740FA">
        <w:rPr>
          <w:rFonts w:ascii="Arial" w:hAnsi="Arial" w:cs="Arial"/>
          <w:sz w:val="20"/>
          <w:szCs w:val="20"/>
        </w:rPr>
        <w:t xml:space="preserve">from the US Bureau of Statistics </w:t>
      </w:r>
      <w:r w:rsidR="00246BCA" w:rsidRPr="00C0562C">
        <w:rPr>
          <w:rFonts w:ascii="Arial" w:hAnsi="Arial" w:cs="Arial"/>
          <w:sz w:val="20"/>
          <w:szCs w:val="20"/>
        </w:rPr>
        <w:t xml:space="preserve">were </w:t>
      </w:r>
      <w:r w:rsidR="00DF4B81" w:rsidRPr="00C0562C">
        <w:rPr>
          <w:rFonts w:ascii="Arial" w:hAnsi="Arial" w:cs="Arial"/>
          <w:sz w:val="20"/>
          <w:szCs w:val="20"/>
        </w:rPr>
        <w:t>useful to confirm that low responses usually occur in population groups with particular</w:t>
      </w:r>
      <w:r w:rsidR="00E778D7">
        <w:rPr>
          <w:rFonts w:ascii="Arial" w:hAnsi="Arial" w:cs="Arial"/>
          <w:sz w:val="20"/>
          <w:szCs w:val="20"/>
        </w:rPr>
        <w:t xml:space="preserve"> </w:t>
      </w:r>
      <w:r w:rsidR="00B20521">
        <w:rPr>
          <w:rFonts w:ascii="Arial" w:hAnsi="Arial" w:cs="Arial"/>
          <w:sz w:val="20"/>
          <w:szCs w:val="20"/>
        </w:rPr>
        <w:t>c</w:t>
      </w:r>
      <w:r w:rsidR="00DF4B81" w:rsidRPr="00C0562C">
        <w:rPr>
          <w:rFonts w:ascii="Arial" w:hAnsi="Arial" w:cs="Arial"/>
          <w:sz w:val="20"/>
          <w:szCs w:val="20"/>
        </w:rPr>
        <w:t xml:space="preserve">haracteristics. </w:t>
      </w:r>
      <w:r w:rsidR="00914543" w:rsidRPr="00C0562C">
        <w:rPr>
          <w:rFonts w:ascii="Arial" w:hAnsi="Arial" w:cs="Arial"/>
          <w:sz w:val="20"/>
          <w:szCs w:val="20"/>
        </w:rPr>
        <w:t xml:space="preserve">Despite historical and cultural differences between countries, </w:t>
      </w:r>
      <w:r w:rsidR="00916048" w:rsidRPr="00C0562C">
        <w:rPr>
          <w:rFonts w:ascii="Arial" w:hAnsi="Arial" w:cs="Arial"/>
          <w:sz w:val="20"/>
          <w:szCs w:val="20"/>
        </w:rPr>
        <w:t>we</w:t>
      </w:r>
      <w:r w:rsidR="00914543" w:rsidRPr="00C0562C">
        <w:rPr>
          <w:rFonts w:ascii="Arial" w:hAnsi="Arial" w:cs="Arial"/>
          <w:sz w:val="20"/>
          <w:szCs w:val="20"/>
        </w:rPr>
        <w:t xml:space="preserve"> share most </w:t>
      </w:r>
      <w:r w:rsidR="00B85E67">
        <w:rPr>
          <w:rFonts w:ascii="Arial" w:hAnsi="Arial" w:cs="Arial"/>
          <w:sz w:val="20"/>
          <w:szCs w:val="20"/>
        </w:rPr>
        <w:t xml:space="preserve">of the </w:t>
      </w:r>
      <w:r w:rsidR="00914543" w:rsidRPr="00C0562C">
        <w:rPr>
          <w:rFonts w:ascii="Arial" w:hAnsi="Arial" w:cs="Arial"/>
          <w:sz w:val="20"/>
          <w:szCs w:val="20"/>
        </w:rPr>
        <w:t xml:space="preserve">census non-respondent characteristics. </w:t>
      </w:r>
      <w:r w:rsidR="00E6475D" w:rsidRPr="00C0562C">
        <w:rPr>
          <w:rFonts w:ascii="Arial" w:hAnsi="Arial" w:cs="Arial"/>
          <w:sz w:val="20"/>
          <w:szCs w:val="20"/>
        </w:rPr>
        <w:t>And m</w:t>
      </w:r>
      <w:r w:rsidR="00916048" w:rsidRPr="00C0562C">
        <w:rPr>
          <w:rFonts w:ascii="Arial" w:hAnsi="Arial" w:cs="Arial"/>
          <w:sz w:val="20"/>
          <w:szCs w:val="20"/>
        </w:rPr>
        <w:t>ost of the</w:t>
      </w:r>
      <w:r w:rsidR="00E6475D" w:rsidRPr="00C0562C">
        <w:rPr>
          <w:rFonts w:ascii="Arial" w:hAnsi="Arial" w:cs="Arial"/>
          <w:sz w:val="20"/>
          <w:szCs w:val="20"/>
        </w:rPr>
        <w:t>se</w:t>
      </w:r>
      <w:r w:rsidR="00916048" w:rsidRPr="00C0562C">
        <w:rPr>
          <w:rFonts w:ascii="Arial" w:hAnsi="Arial" w:cs="Arial"/>
          <w:sz w:val="20"/>
          <w:szCs w:val="20"/>
        </w:rPr>
        <w:t xml:space="preserve"> characteristics </w:t>
      </w:r>
      <w:r w:rsidR="00E6475D" w:rsidRPr="00C0562C">
        <w:rPr>
          <w:rFonts w:ascii="Arial" w:hAnsi="Arial" w:cs="Arial"/>
          <w:sz w:val="20"/>
          <w:szCs w:val="20"/>
        </w:rPr>
        <w:t>were</w:t>
      </w:r>
      <w:r w:rsidR="00916048" w:rsidRPr="00C0562C">
        <w:rPr>
          <w:rFonts w:ascii="Arial" w:hAnsi="Arial" w:cs="Arial"/>
          <w:sz w:val="20"/>
          <w:szCs w:val="20"/>
        </w:rPr>
        <w:t xml:space="preserve"> i</w:t>
      </w:r>
      <w:r w:rsidR="00C95C67" w:rsidRPr="00C0562C">
        <w:rPr>
          <w:rFonts w:ascii="Arial" w:hAnsi="Arial" w:cs="Arial"/>
          <w:sz w:val="20"/>
          <w:szCs w:val="20"/>
        </w:rPr>
        <w:t>ncluded in the model to build the Will</w:t>
      </w:r>
      <w:r w:rsidR="00914543" w:rsidRPr="00C0562C">
        <w:rPr>
          <w:rFonts w:ascii="Arial" w:hAnsi="Arial" w:cs="Arial"/>
          <w:sz w:val="20"/>
          <w:szCs w:val="20"/>
        </w:rPr>
        <w:t xml:space="preserve">ingness domain of the HtC index for the 2021 Census in England and Wales. </w:t>
      </w:r>
      <w:r w:rsidR="00C95C67" w:rsidRPr="00C0562C">
        <w:rPr>
          <w:rFonts w:ascii="Arial" w:hAnsi="Arial" w:cs="Arial"/>
          <w:sz w:val="20"/>
          <w:szCs w:val="20"/>
        </w:rPr>
        <w:t xml:space="preserve"> </w:t>
      </w:r>
      <w:r w:rsidR="00F62387" w:rsidRPr="00C0562C">
        <w:rPr>
          <w:rFonts w:ascii="Arial" w:hAnsi="Arial" w:cs="Arial"/>
          <w:sz w:val="20"/>
          <w:szCs w:val="20"/>
        </w:rPr>
        <w:t xml:space="preserve"> </w:t>
      </w:r>
    </w:p>
    <w:p w14:paraId="6FD3977B" w14:textId="77777777" w:rsidR="00181A9B" w:rsidRPr="00C0562C" w:rsidRDefault="00181A9B" w:rsidP="00CC36A9">
      <w:pPr>
        <w:spacing w:after="0" w:line="240" w:lineRule="auto"/>
        <w:jc w:val="both"/>
        <w:rPr>
          <w:rFonts w:ascii="Arial" w:hAnsi="Arial" w:cs="Arial"/>
          <w:sz w:val="20"/>
          <w:szCs w:val="20"/>
        </w:rPr>
      </w:pPr>
    </w:p>
    <w:p w14:paraId="236741B9" w14:textId="77777777" w:rsidR="008B5642" w:rsidRPr="00C0562C" w:rsidRDefault="00640B34" w:rsidP="00CC36A9">
      <w:pPr>
        <w:spacing w:after="0" w:line="240" w:lineRule="auto"/>
        <w:jc w:val="both"/>
        <w:rPr>
          <w:rFonts w:ascii="Arial" w:hAnsi="Arial" w:cs="Arial"/>
          <w:sz w:val="20"/>
          <w:szCs w:val="20"/>
        </w:rPr>
      </w:pPr>
      <w:r>
        <w:rPr>
          <w:rFonts w:ascii="Arial" w:hAnsi="Arial" w:cs="Arial"/>
          <w:sz w:val="20"/>
          <w:szCs w:val="20"/>
        </w:rPr>
        <w:t xml:space="preserve">ONS </w:t>
      </w:r>
      <w:r w:rsidR="008B5642" w:rsidRPr="00C0562C">
        <w:rPr>
          <w:rFonts w:ascii="Arial" w:hAnsi="Arial" w:cs="Arial"/>
          <w:sz w:val="20"/>
          <w:szCs w:val="20"/>
        </w:rPr>
        <w:t xml:space="preserve">has planned </w:t>
      </w:r>
      <w:r w:rsidR="003F1E67">
        <w:rPr>
          <w:rFonts w:ascii="Arial" w:hAnsi="Arial" w:cs="Arial"/>
          <w:sz w:val="20"/>
          <w:szCs w:val="20"/>
        </w:rPr>
        <w:t>a</w:t>
      </w:r>
      <w:r w:rsidR="008B5642" w:rsidRPr="00C0562C">
        <w:rPr>
          <w:rFonts w:ascii="Arial" w:hAnsi="Arial" w:cs="Arial"/>
          <w:sz w:val="20"/>
          <w:szCs w:val="20"/>
        </w:rPr>
        <w:t xml:space="preserve"> strategy to maximise response in the 2021 Census by using a combination of the two domains of the HtC index. Th</w:t>
      </w:r>
      <w:r w:rsidR="008C463E" w:rsidRPr="00C0562C">
        <w:rPr>
          <w:rFonts w:ascii="Arial" w:hAnsi="Arial" w:cs="Arial"/>
          <w:sz w:val="20"/>
          <w:szCs w:val="20"/>
        </w:rPr>
        <w:t>ese</w:t>
      </w:r>
      <w:r w:rsidR="008B5642" w:rsidRPr="00C0562C">
        <w:rPr>
          <w:rFonts w:ascii="Arial" w:hAnsi="Arial" w:cs="Arial"/>
          <w:sz w:val="20"/>
          <w:szCs w:val="20"/>
        </w:rPr>
        <w:t xml:space="preserve"> will be used to plan where paper </w:t>
      </w:r>
      <w:r w:rsidR="00525AAE" w:rsidRPr="00C0562C">
        <w:rPr>
          <w:rFonts w:ascii="Arial" w:hAnsi="Arial" w:cs="Arial"/>
          <w:sz w:val="20"/>
          <w:szCs w:val="20"/>
        </w:rPr>
        <w:t xml:space="preserve">questionnaires </w:t>
      </w:r>
      <w:r w:rsidR="008B5642" w:rsidRPr="00C0562C">
        <w:rPr>
          <w:rFonts w:ascii="Arial" w:hAnsi="Arial" w:cs="Arial"/>
          <w:sz w:val="20"/>
          <w:szCs w:val="20"/>
        </w:rPr>
        <w:t>will be sent as first contact to households</w:t>
      </w:r>
      <w:r w:rsidR="008C463E" w:rsidRPr="00C0562C">
        <w:rPr>
          <w:rFonts w:ascii="Arial" w:hAnsi="Arial" w:cs="Arial"/>
          <w:sz w:val="20"/>
          <w:szCs w:val="20"/>
        </w:rPr>
        <w:t xml:space="preserve"> and where assisted digital centres should be situated.</w:t>
      </w:r>
      <w:r w:rsidR="008B5642" w:rsidRPr="00C0562C">
        <w:rPr>
          <w:rFonts w:ascii="Arial" w:hAnsi="Arial" w:cs="Arial"/>
          <w:sz w:val="20"/>
          <w:szCs w:val="20"/>
        </w:rPr>
        <w:t xml:space="preserve"> </w:t>
      </w:r>
    </w:p>
    <w:p w14:paraId="4B510962" w14:textId="77777777" w:rsidR="00473FB3" w:rsidRPr="00C0562C" w:rsidRDefault="00473FB3" w:rsidP="00CC36A9">
      <w:pPr>
        <w:spacing w:after="0" w:line="240" w:lineRule="auto"/>
        <w:jc w:val="both"/>
        <w:rPr>
          <w:rFonts w:ascii="Arial" w:hAnsi="Arial" w:cs="Arial"/>
          <w:sz w:val="20"/>
          <w:szCs w:val="20"/>
        </w:rPr>
      </w:pPr>
    </w:p>
    <w:p w14:paraId="7EE1D0C3" w14:textId="77777777" w:rsidR="00525AAE" w:rsidRPr="00C0562C" w:rsidRDefault="008B5642" w:rsidP="00CC36A9">
      <w:pPr>
        <w:spacing w:after="0" w:line="240" w:lineRule="auto"/>
        <w:jc w:val="both"/>
        <w:rPr>
          <w:rFonts w:ascii="Arial" w:hAnsi="Arial" w:cs="Arial"/>
          <w:sz w:val="20"/>
          <w:szCs w:val="20"/>
        </w:rPr>
      </w:pPr>
      <w:r w:rsidRPr="00C0562C">
        <w:rPr>
          <w:rFonts w:ascii="Arial" w:hAnsi="Arial" w:cs="Arial"/>
          <w:sz w:val="20"/>
          <w:szCs w:val="20"/>
        </w:rPr>
        <w:t xml:space="preserve">Questionnaires </w:t>
      </w:r>
      <w:r w:rsidR="00525AAE" w:rsidRPr="00C0562C">
        <w:rPr>
          <w:rFonts w:ascii="Arial" w:hAnsi="Arial" w:cs="Arial"/>
          <w:sz w:val="20"/>
          <w:szCs w:val="20"/>
        </w:rPr>
        <w:t>will be available via a number of routes to ensure that, although we will encourage anyone who is able to respond online to do so, there are no barriers to completion for those who cannot, or choose not to, complete their forms online.</w:t>
      </w:r>
    </w:p>
    <w:p w14:paraId="3812B2B7" w14:textId="77777777" w:rsidR="00525AAE" w:rsidRPr="00C0562C" w:rsidRDefault="00525AAE" w:rsidP="00CC36A9">
      <w:pPr>
        <w:spacing w:after="0" w:line="240" w:lineRule="auto"/>
        <w:jc w:val="both"/>
        <w:rPr>
          <w:rFonts w:ascii="Arial" w:hAnsi="Arial" w:cs="Arial"/>
          <w:sz w:val="20"/>
          <w:szCs w:val="20"/>
        </w:rPr>
      </w:pPr>
      <w:r w:rsidRPr="00C0562C">
        <w:rPr>
          <w:rFonts w:ascii="Arial" w:hAnsi="Arial" w:cs="Arial"/>
          <w:sz w:val="20"/>
          <w:szCs w:val="20"/>
        </w:rPr>
        <w:t>There</w:t>
      </w:r>
      <w:r w:rsidR="008B5642" w:rsidRPr="00C0562C">
        <w:rPr>
          <w:rFonts w:ascii="Arial" w:hAnsi="Arial" w:cs="Arial"/>
          <w:sz w:val="20"/>
          <w:szCs w:val="20"/>
        </w:rPr>
        <w:t xml:space="preserve"> will be </w:t>
      </w:r>
      <w:r w:rsidRPr="00C0562C">
        <w:rPr>
          <w:rFonts w:ascii="Arial" w:hAnsi="Arial" w:cs="Arial"/>
          <w:sz w:val="20"/>
          <w:szCs w:val="20"/>
        </w:rPr>
        <w:t>four different options for receiving paper questionnaires:</w:t>
      </w:r>
    </w:p>
    <w:p w14:paraId="405EE348" w14:textId="77777777" w:rsidR="00473FB3" w:rsidRPr="00C0562C" w:rsidRDefault="00473FB3" w:rsidP="00CC36A9">
      <w:pPr>
        <w:spacing w:after="0" w:line="240" w:lineRule="auto"/>
        <w:jc w:val="both"/>
        <w:rPr>
          <w:rFonts w:ascii="Arial" w:hAnsi="Arial" w:cs="Arial"/>
          <w:sz w:val="20"/>
          <w:szCs w:val="20"/>
        </w:rPr>
      </w:pPr>
    </w:p>
    <w:p w14:paraId="134221F7" w14:textId="77777777" w:rsidR="00525AAE" w:rsidRPr="00C0562C" w:rsidRDefault="00525AAE" w:rsidP="00C14976">
      <w:pPr>
        <w:keepNext/>
        <w:keepLines/>
        <w:spacing w:after="0" w:line="240" w:lineRule="auto"/>
        <w:jc w:val="both"/>
        <w:rPr>
          <w:rFonts w:ascii="Arial" w:hAnsi="Arial" w:cs="Arial"/>
          <w:sz w:val="20"/>
          <w:szCs w:val="20"/>
          <w:u w:val="single"/>
        </w:rPr>
      </w:pPr>
      <w:r w:rsidRPr="00C0562C">
        <w:rPr>
          <w:rFonts w:ascii="Arial" w:hAnsi="Arial" w:cs="Arial"/>
          <w:sz w:val="20"/>
          <w:szCs w:val="20"/>
          <w:u w:val="single"/>
        </w:rPr>
        <w:t>Paper as first contact</w:t>
      </w:r>
    </w:p>
    <w:p w14:paraId="6B1DCE47" w14:textId="77777777" w:rsidR="00525AAE" w:rsidRDefault="00525AAE" w:rsidP="00CC36A9">
      <w:pPr>
        <w:spacing w:after="0" w:line="240" w:lineRule="auto"/>
        <w:jc w:val="both"/>
        <w:rPr>
          <w:rFonts w:ascii="Arial" w:hAnsi="Arial" w:cs="Arial"/>
          <w:sz w:val="20"/>
          <w:szCs w:val="20"/>
        </w:rPr>
      </w:pPr>
      <w:r w:rsidRPr="00C0562C">
        <w:rPr>
          <w:rFonts w:ascii="Arial" w:hAnsi="Arial" w:cs="Arial"/>
          <w:sz w:val="20"/>
          <w:szCs w:val="20"/>
        </w:rPr>
        <w:t>In some areas of England and Wales, where the</w:t>
      </w:r>
      <w:r w:rsidR="008B5642" w:rsidRPr="00C0562C">
        <w:rPr>
          <w:rFonts w:ascii="Arial" w:hAnsi="Arial" w:cs="Arial"/>
          <w:sz w:val="20"/>
          <w:szCs w:val="20"/>
        </w:rPr>
        <w:t xml:space="preserve"> digital ability </w:t>
      </w:r>
      <w:r w:rsidRPr="00C0562C">
        <w:rPr>
          <w:rFonts w:ascii="Arial" w:hAnsi="Arial" w:cs="Arial"/>
          <w:sz w:val="20"/>
          <w:szCs w:val="20"/>
        </w:rPr>
        <w:t xml:space="preserve">is likely to be low, the initial contact will be a paper questionnaire, delivered by post. These paper questionnaires will also include a unique access code </w:t>
      </w:r>
      <w:r w:rsidR="008B5642" w:rsidRPr="00C0562C">
        <w:rPr>
          <w:rFonts w:ascii="Arial" w:hAnsi="Arial" w:cs="Arial"/>
          <w:sz w:val="20"/>
          <w:szCs w:val="20"/>
        </w:rPr>
        <w:t xml:space="preserve">(UAC) </w:t>
      </w:r>
      <w:r w:rsidRPr="00C0562C">
        <w:rPr>
          <w:rFonts w:ascii="Arial" w:hAnsi="Arial" w:cs="Arial"/>
          <w:sz w:val="20"/>
          <w:szCs w:val="20"/>
        </w:rPr>
        <w:t>to enable those who prefer to complete the census online to do so.</w:t>
      </w:r>
    </w:p>
    <w:p w14:paraId="42751D97" w14:textId="77777777" w:rsidR="005758C5" w:rsidRDefault="005758C5" w:rsidP="00CC36A9">
      <w:pPr>
        <w:spacing w:after="0" w:line="240" w:lineRule="auto"/>
        <w:jc w:val="both"/>
        <w:rPr>
          <w:rFonts w:ascii="Arial" w:hAnsi="Arial" w:cs="Arial"/>
          <w:sz w:val="20"/>
          <w:szCs w:val="20"/>
          <w:u w:val="single"/>
        </w:rPr>
      </w:pPr>
    </w:p>
    <w:p w14:paraId="21FCEF04" w14:textId="77777777" w:rsidR="00525AAE" w:rsidRPr="00C0562C" w:rsidRDefault="00525AAE" w:rsidP="00CC36A9">
      <w:pPr>
        <w:spacing w:after="0" w:line="240" w:lineRule="auto"/>
        <w:jc w:val="both"/>
        <w:rPr>
          <w:rFonts w:ascii="Arial" w:hAnsi="Arial" w:cs="Arial"/>
          <w:sz w:val="20"/>
          <w:szCs w:val="20"/>
          <w:u w:val="single"/>
        </w:rPr>
      </w:pPr>
      <w:r w:rsidRPr="00C0562C">
        <w:rPr>
          <w:rFonts w:ascii="Arial" w:hAnsi="Arial" w:cs="Arial"/>
          <w:sz w:val="20"/>
          <w:szCs w:val="20"/>
          <w:u w:val="single"/>
        </w:rPr>
        <w:t>Paper questionnaire as a reminder</w:t>
      </w:r>
    </w:p>
    <w:p w14:paraId="7F6A3907" w14:textId="77777777" w:rsidR="00525AAE" w:rsidRPr="00C0562C" w:rsidRDefault="00525AAE" w:rsidP="00CC36A9">
      <w:pPr>
        <w:spacing w:after="0" w:line="240" w:lineRule="auto"/>
        <w:jc w:val="both"/>
        <w:rPr>
          <w:rFonts w:ascii="Arial" w:hAnsi="Arial" w:cs="Arial"/>
          <w:sz w:val="20"/>
          <w:szCs w:val="20"/>
        </w:rPr>
      </w:pPr>
      <w:r w:rsidRPr="00C0562C">
        <w:rPr>
          <w:rFonts w:ascii="Arial" w:hAnsi="Arial" w:cs="Arial"/>
          <w:sz w:val="20"/>
          <w:szCs w:val="20"/>
        </w:rPr>
        <w:t>In some other areas, where the initial contact letter includes only a</w:t>
      </w:r>
      <w:r w:rsidR="008B5642" w:rsidRPr="00C0562C">
        <w:rPr>
          <w:rFonts w:ascii="Arial" w:hAnsi="Arial" w:cs="Arial"/>
          <w:sz w:val="20"/>
          <w:szCs w:val="20"/>
        </w:rPr>
        <w:t>n UAC</w:t>
      </w:r>
      <w:r w:rsidRPr="00C0562C">
        <w:rPr>
          <w:rFonts w:ascii="Arial" w:hAnsi="Arial" w:cs="Arial"/>
          <w:sz w:val="20"/>
          <w:szCs w:val="20"/>
        </w:rPr>
        <w:t xml:space="preserve"> for online completion, a paper questionnaire will be posted out at a later date to non-responding households as a reminder to respond.</w:t>
      </w:r>
    </w:p>
    <w:p w14:paraId="291AB3CF" w14:textId="77777777" w:rsidR="00525AAE" w:rsidRPr="00C0562C" w:rsidRDefault="00525AAE" w:rsidP="00CC36A9">
      <w:pPr>
        <w:spacing w:after="0" w:line="240" w:lineRule="auto"/>
        <w:jc w:val="both"/>
        <w:rPr>
          <w:rFonts w:ascii="Arial" w:hAnsi="Arial" w:cs="Arial"/>
          <w:sz w:val="20"/>
          <w:szCs w:val="20"/>
        </w:rPr>
      </w:pPr>
    </w:p>
    <w:p w14:paraId="0070E631" w14:textId="77777777" w:rsidR="00525AAE" w:rsidRPr="00C0562C" w:rsidRDefault="00525AAE" w:rsidP="00CC36A9">
      <w:pPr>
        <w:spacing w:after="0" w:line="240" w:lineRule="auto"/>
        <w:jc w:val="both"/>
        <w:rPr>
          <w:rFonts w:ascii="Arial" w:hAnsi="Arial" w:cs="Arial"/>
          <w:sz w:val="20"/>
          <w:szCs w:val="20"/>
          <w:u w:val="single"/>
        </w:rPr>
      </w:pPr>
      <w:r w:rsidRPr="00C0562C">
        <w:rPr>
          <w:rFonts w:ascii="Arial" w:hAnsi="Arial" w:cs="Arial"/>
          <w:sz w:val="20"/>
          <w:szCs w:val="20"/>
          <w:u w:val="single"/>
        </w:rPr>
        <w:t>Via contact centre or online</w:t>
      </w:r>
    </w:p>
    <w:p w14:paraId="063B9F0D" w14:textId="77777777" w:rsidR="00525AAE" w:rsidRDefault="00525AAE" w:rsidP="00CC36A9">
      <w:pPr>
        <w:spacing w:after="0" w:line="240" w:lineRule="auto"/>
        <w:jc w:val="both"/>
        <w:rPr>
          <w:rFonts w:ascii="Arial" w:hAnsi="Arial" w:cs="Arial"/>
          <w:sz w:val="20"/>
          <w:szCs w:val="20"/>
        </w:rPr>
      </w:pPr>
      <w:r w:rsidRPr="00C0562C">
        <w:rPr>
          <w:rFonts w:ascii="Arial" w:hAnsi="Arial" w:cs="Arial"/>
          <w:sz w:val="20"/>
          <w:szCs w:val="20"/>
        </w:rPr>
        <w:t>Anyone who wants to complete a paper questionnaire will also be able to request one at any time either via the website, or by calling our helpline, and information about how to do this will be included in the initial contact letter inviting people to respond.</w:t>
      </w:r>
    </w:p>
    <w:p w14:paraId="38516082" w14:textId="77777777" w:rsidR="003A59D2" w:rsidRDefault="003A59D2" w:rsidP="00CC36A9">
      <w:pPr>
        <w:spacing w:after="0" w:line="240" w:lineRule="auto"/>
        <w:jc w:val="both"/>
        <w:rPr>
          <w:rFonts w:ascii="Arial" w:hAnsi="Arial" w:cs="Arial"/>
          <w:sz w:val="20"/>
          <w:szCs w:val="20"/>
        </w:rPr>
      </w:pPr>
    </w:p>
    <w:p w14:paraId="24F035B3" w14:textId="77777777" w:rsidR="00525AAE" w:rsidRPr="00C0562C" w:rsidRDefault="00525AAE" w:rsidP="00CC36A9">
      <w:pPr>
        <w:spacing w:after="0" w:line="240" w:lineRule="auto"/>
        <w:jc w:val="both"/>
        <w:rPr>
          <w:rFonts w:ascii="Arial" w:hAnsi="Arial" w:cs="Arial"/>
          <w:sz w:val="20"/>
          <w:szCs w:val="20"/>
          <w:u w:val="single"/>
        </w:rPr>
      </w:pPr>
      <w:r w:rsidRPr="00C0562C">
        <w:rPr>
          <w:rFonts w:ascii="Arial" w:hAnsi="Arial" w:cs="Arial"/>
          <w:sz w:val="20"/>
          <w:szCs w:val="20"/>
          <w:u w:val="single"/>
        </w:rPr>
        <w:t>Handed out by field officers</w:t>
      </w:r>
    </w:p>
    <w:p w14:paraId="2E48DFC8" w14:textId="77777777" w:rsidR="00525AAE" w:rsidRPr="00C0562C" w:rsidRDefault="00525AAE" w:rsidP="00CC36A9">
      <w:pPr>
        <w:spacing w:after="0" w:line="240" w:lineRule="auto"/>
        <w:jc w:val="both"/>
        <w:rPr>
          <w:rFonts w:ascii="Arial" w:hAnsi="Arial" w:cs="Arial"/>
          <w:sz w:val="20"/>
          <w:szCs w:val="20"/>
        </w:rPr>
      </w:pPr>
      <w:r w:rsidRPr="00C0562C">
        <w:rPr>
          <w:rFonts w:ascii="Arial" w:hAnsi="Arial" w:cs="Arial"/>
          <w:sz w:val="20"/>
          <w:szCs w:val="20"/>
        </w:rPr>
        <w:t>Census field officers will visit all addresses where no response has been received to remind people to respond. At this point, field officers will also be able to supply paper questionnaires on the doorstep if requested.</w:t>
      </w:r>
    </w:p>
    <w:p w14:paraId="3CBDC7A2" w14:textId="77777777" w:rsidR="00525AAE" w:rsidRPr="00C0562C" w:rsidRDefault="00525AAE" w:rsidP="00CC36A9">
      <w:pPr>
        <w:spacing w:after="0" w:line="240" w:lineRule="auto"/>
        <w:jc w:val="both"/>
        <w:rPr>
          <w:rFonts w:ascii="Arial" w:hAnsi="Arial" w:cs="Arial"/>
          <w:sz w:val="20"/>
          <w:szCs w:val="20"/>
        </w:rPr>
      </w:pPr>
    </w:p>
    <w:p w14:paraId="57A072BC" w14:textId="77777777" w:rsidR="00525AAE" w:rsidRPr="00C0562C" w:rsidRDefault="00525AAE" w:rsidP="00CC36A9">
      <w:pPr>
        <w:spacing w:after="0" w:line="240" w:lineRule="auto"/>
        <w:jc w:val="both"/>
        <w:rPr>
          <w:rFonts w:ascii="Arial" w:hAnsi="Arial" w:cs="Arial"/>
          <w:sz w:val="20"/>
          <w:szCs w:val="20"/>
          <w:u w:val="single"/>
        </w:rPr>
      </w:pPr>
      <w:r w:rsidRPr="00C0562C">
        <w:rPr>
          <w:rFonts w:ascii="Arial" w:hAnsi="Arial" w:cs="Arial"/>
          <w:sz w:val="20"/>
          <w:szCs w:val="20"/>
          <w:u w:val="single"/>
        </w:rPr>
        <w:t>Other forms of assistance</w:t>
      </w:r>
    </w:p>
    <w:p w14:paraId="415E6AD1" w14:textId="77777777" w:rsidR="00525AAE" w:rsidRDefault="00525AAE" w:rsidP="00CC36A9">
      <w:pPr>
        <w:spacing w:after="0" w:line="240" w:lineRule="auto"/>
        <w:jc w:val="both"/>
        <w:rPr>
          <w:rFonts w:ascii="Arial" w:hAnsi="Arial" w:cs="Arial"/>
          <w:sz w:val="20"/>
          <w:szCs w:val="20"/>
        </w:rPr>
      </w:pPr>
      <w:r w:rsidRPr="00C0562C">
        <w:rPr>
          <w:rFonts w:ascii="Arial" w:hAnsi="Arial" w:cs="Arial"/>
          <w:sz w:val="20"/>
          <w:szCs w:val="20"/>
        </w:rPr>
        <w:t>For those who do wish to complete the census questionnaire online, but may require help to do so, face-to-face assistance will be offered through an assisted digital service at a variety of locations. ONS will also be providing help with completion at organised completion events and help will also be available via our contact centre.</w:t>
      </w:r>
    </w:p>
    <w:p w14:paraId="5E34A991" w14:textId="77777777" w:rsidR="009B76C1" w:rsidRPr="00C0562C" w:rsidRDefault="009B76C1" w:rsidP="00CC36A9">
      <w:pPr>
        <w:spacing w:after="0" w:line="240" w:lineRule="auto"/>
        <w:jc w:val="both"/>
        <w:rPr>
          <w:rFonts w:ascii="Arial" w:hAnsi="Arial" w:cs="Arial"/>
          <w:sz w:val="20"/>
          <w:szCs w:val="20"/>
        </w:rPr>
      </w:pPr>
    </w:p>
    <w:p w14:paraId="255A111F" w14:textId="77777777" w:rsidR="003176FF" w:rsidRPr="00C0562C" w:rsidRDefault="003176FF" w:rsidP="001837E5">
      <w:pPr>
        <w:pStyle w:val="ListParagraph"/>
        <w:numPr>
          <w:ilvl w:val="0"/>
          <w:numId w:val="8"/>
        </w:numPr>
        <w:spacing w:after="0" w:line="240" w:lineRule="auto"/>
        <w:jc w:val="both"/>
        <w:rPr>
          <w:rFonts w:ascii="Arial" w:hAnsi="Arial" w:cs="Arial"/>
          <w:b/>
          <w:color w:val="365F91" w:themeColor="accent1" w:themeShade="BF"/>
          <w:sz w:val="20"/>
          <w:szCs w:val="20"/>
        </w:rPr>
      </w:pPr>
      <w:r w:rsidRPr="00C0562C">
        <w:rPr>
          <w:rFonts w:ascii="Arial" w:hAnsi="Arial" w:cs="Arial"/>
          <w:b/>
          <w:color w:val="365F91" w:themeColor="accent1" w:themeShade="BF"/>
          <w:sz w:val="20"/>
          <w:szCs w:val="20"/>
        </w:rPr>
        <w:t>ONS work to obtain access to other data sources</w:t>
      </w:r>
    </w:p>
    <w:p w14:paraId="0B4F85E4" w14:textId="77777777" w:rsidR="003176FF" w:rsidRPr="00C0562C" w:rsidRDefault="003176FF" w:rsidP="00EC09C2">
      <w:pPr>
        <w:spacing w:after="0"/>
        <w:jc w:val="both"/>
        <w:rPr>
          <w:rFonts w:ascii="Arial" w:hAnsi="Arial" w:cs="Arial"/>
          <w:sz w:val="20"/>
          <w:szCs w:val="20"/>
        </w:rPr>
      </w:pPr>
    </w:p>
    <w:p w14:paraId="04D03514" w14:textId="55BD8CE8" w:rsidR="000B0B7B" w:rsidRDefault="006110D3" w:rsidP="00CC36A9">
      <w:pPr>
        <w:spacing w:after="0" w:line="240" w:lineRule="auto"/>
        <w:jc w:val="both"/>
        <w:rPr>
          <w:rFonts w:ascii="Arial" w:hAnsi="Arial" w:cs="Arial"/>
          <w:sz w:val="20"/>
          <w:szCs w:val="20"/>
        </w:rPr>
      </w:pPr>
      <w:r w:rsidRPr="00C0562C">
        <w:rPr>
          <w:rFonts w:ascii="Arial" w:hAnsi="Arial" w:cs="Arial"/>
          <w:sz w:val="20"/>
          <w:szCs w:val="20"/>
        </w:rPr>
        <w:t>A major milestone to ONS for obtaining access to data sources has been the ‘</w:t>
      </w:r>
      <w:r w:rsidR="000B0B7B" w:rsidRPr="00C0562C">
        <w:rPr>
          <w:rFonts w:ascii="Arial" w:hAnsi="Arial" w:cs="Arial"/>
          <w:color w:val="333333"/>
          <w:sz w:val="20"/>
          <w:szCs w:val="20"/>
          <w:shd w:val="clear" w:color="auto" w:fill="FFFFFF"/>
        </w:rPr>
        <w:t>Digital Economy Act</w:t>
      </w:r>
      <w:r w:rsidRPr="00C0562C">
        <w:rPr>
          <w:rFonts w:ascii="Arial" w:hAnsi="Arial" w:cs="Arial"/>
          <w:color w:val="333333"/>
          <w:sz w:val="20"/>
          <w:szCs w:val="20"/>
          <w:shd w:val="clear" w:color="auto" w:fill="FFFFFF"/>
        </w:rPr>
        <w:t>’</w:t>
      </w:r>
      <w:r w:rsidR="0051695F" w:rsidRPr="00C0562C">
        <w:rPr>
          <w:rFonts w:ascii="Arial" w:hAnsi="Arial" w:cs="Arial"/>
          <w:color w:val="333333"/>
          <w:sz w:val="20"/>
          <w:szCs w:val="20"/>
          <w:shd w:val="clear" w:color="auto" w:fill="FFFFFF"/>
        </w:rPr>
        <w:t xml:space="preserve"> in 2017.</w:t>
      </w:r>
      <w:r w:rsidRPr="00C0562C">
        <w:rPr>
          <w:rFonts w:ascii="Arial" w:hAnsi="Arial" w:cs="Arial"/>
          <w:color w:val="333333"/>
          <w:sz w:val="20"/>
          <w:szCs w:val="20"/>
          <w:shd w:val="clear" w:color="auto" w:fill="FFFFFF"/>
        </w:rPr>
        <w:t xml:space="preserve"> The Act </w:t>
      </w:r>
      <w:r w:rsidR="000B0B7B" w:rsidRPr="00C0562C">
        <w:rPr>
          <w:rFonts w:ascii="Arial" w:hAnsi="Arial" w:cs="Arial"/>
          <w:color w:val="333333"/>
          <w:sz w:val="20"/>
          <w:szCs w:val="20"/>
          <w:shd w:val="clear" w:color="auto" w:fill="FFFFFF"/>
        </w:rPr>
        <w:t>clears the numerous legal barriers that have evolved over time preventing us getting the data we need, when we need it.</w:t>
      </w:r>
      <w:r w:rsidRPr="00C0562C">
        <w:rPr>
          <w:rFonts w:ascii="Arial" w:hAnsi="Arial" w:cs="Arial"/>
          <w:color w:val="333333"/>
          <w:sz w:val="20"/>
          <w:szCs w:val="20"/>
          <w:shd w:val="clear" w:color="auto" w:fill="FFFFFF"/>
        </w:rPr>
        <w:t xml:space="preserve"> </w:t>
      </w:r>
      <w:r w:rsidR="00BD57B2">
        <w:rPr>
          <w:rFonts w:ascii="Arial" w:hAnsi="Arial" w:cs="Arial"/>
          <w:color w:val="333333"/>
          <w:sz w:val="20"/>
          <w:szCs w:val="20"/>
          <w:shd w:val="clear" w:color="auto" w:fill="FFFFFF"/>
        </w:rPr>
        <w:t xml:space="preserve">The Act </w:t>
      </w:r>
      <w:r w:rsidR="000B0B7B" w:rsidRPr="00C0562C">
        <w:rPr>
          <w:rFonts w:ascii="Arial" w:hAnsi="Arial" w:cs="Arial"/>
          <w:sz w:val="20"/>
          <w:szCs w:val="20"/>
        </w:rPr>
        <w:t xml:space="preserve">gives us legal rights to access data held by Government </w:t>
      </w:r>
      <w:r w:rsidR="00BD57B2">
        <w:rPr>
          <w:rFonts w:ascii="Arial" w:hAnsi="Arial" w:cs="Arial"/>
          <w:sz w:val="20"/>
          <w:szCs w:val="20"/>
        </w:rPr>
        <w:t>D</w:t>
      </w:r>
      <w:r w:rsidR="000B0B7B" w:rsidRPr="00C0562C">
        <w:rPr>
          <w:rFonts w:ascii="Arial" w:hAnsi="Arial" w:cs="Arial"/>
          <w:sz w:val="20"/>
          <w:szCs w:val="20"/>
        </w:rPr>
        <w:t>epartments, other public bodies, charities and large/medium-sized businesses where we need that data to support our work.</w:t>
      </w:r>
    </w:p>
    <w:p w14:paraId="63D3764C" w14:textId="77777777" w:rsidR="00C14976" w:rsidRPr="00C0562C" w:rsidRDefault="00C14976" w:rsidP="00CC36A9">
      <w:pPr>
        <w:spacing w:after="0" w:line="240" w:lineRule="auto"/>
        <w:jc w:val="both"/>
        <w:rPr>
          <w:rFonts w:ascii="Arial" w:hAnsi="Arial" w:cs="Arial"/>
          <w:sz w:val="20"/>
          <w:szCs w:val="20"/>
        </w:rPr>
      </w:pPr>
    </w:p>
    <w:p w14:paraId="182239CB" w14:textId="0985737B" w:rsidR="00C14976" w:rsidRDefault="006110D3" w:rsidP="00CC36A9">
      <w:pPr>
        <w:spacing w:after="0" w:line="240" w:lineRule="auto"/>
        <w:jc w:val="both"/>
        <w:rPr>
          <w:rFonts w:ascii="Arial" w:hAnsi="Arial" w:cs="Arial"/>
          <w:sz w:val="20"/>
          <w:szCs w:val="20"/>
        </w:rPr>
      </w:pPr>
      <w:r w:rsidRPr="00C0562C">
        <w:rPr>
          <w:rFonts w:ascii="Arial" w:hAnsi="Arial" w:cs="Arial"/>
          <w:sz w:val="20"/>
          <w:szCs w:val="20"/>
        </w:rPr>
        <w:t>Negotiations between ONS and other Government Departments to agree terms of data sharing have been held for some time</w:t>
      </w:r>
      <w:r w:rsidR="00FE11D7" w:rsidRPr="00C0562C">
        <w:rPr>
          <w:rFonts w:ascii="Arial" w:hAnsi="Arial" w:cs="Arial"/>
          <w:sz w:val="20"/>
          <w:szCs w:val="20"/>
        </w:rPr>
        <w:t xml:space="preserve"> and </w:t>
      </w:r>
      <w:r w:rsidR="00BD57B2">
        <w:rPr>
          <w:rFonts w:ascii="Arial" w:hAnsi="Arial" w:cs="Arial"/>
          <w:sz w:val="20"/>
          <w:szCs w:val="20"/>
        </w:rPr>
        <w:t>ONS already has</w:t>
      </w:r>
      <w:r w:rsidR="00FE11D7" w:rsidRPr="00C0562C">
        <w:rPr>
          <w:rFonts w:ascii="Arial" w:hAnsi="Arial" w:cs="Arial"/>
          <w:sz w:val="20"/>
          <w:szCs w:val="20"/>
        </w:rPr>
        <w:t xml:space="preserve"> access to a number of administrative </w:t>
      </w:r>
      <w:r w:rsidR="00CC4801" w:rsidRPr="00C0562C">
        <w:rPr>
          <w:rFonts w:ascii="Arial" w:hAnsi="Arial" w:cs="Arial"/>
          <w:sz w:val="20"/>
          <w:szCs w:val="20"/>
        </w:rPr>
        <w:t xml:space="preserve">and some commercial </w:t>
      </w:r>
      <w:r w:rsidR="00FE11D7" w:rsidRPr="00C0562C">
        <w:rPr>
          <w:rFonts w:ascii="Arial" w:hAnsi="Arial" w:cs="Arial"/>
          <w:sz w:val="20"/>
          <w:szCs w:val="20"/>
        </w:rPr>
        <w:t>data sources</w:t>
      </w:r>
      <w:r w:rsidRPr="00C0562C">
        <w:rPr>
          <w:rFonts w:ascii="Arial" w:hAnsi="Arial" w:cs="Arial"/>
          <w:sz w:val="20"/>
          <w:szCs w:val="20"/>
        </w:rPr>
        <w:t>.</w:t>
      </w:r>
    </w:p>
    <w:p w14:paraId="5FABDD65" w14:textId="77777777" w:rsidR="00C14976" w:rsidRPr="00C0562C" w:rsidRDefault="00C14976" w:rsidP="00CC36A9">
      <w:pPr>
        <w:spacing w:after="0" w:line="240" w:lineRule="auto"/>
        <w:jc w:val="both"/>
        <w:rPr>
          <w:rFonts w:ascii="Arial" w:hAnsi="Arial" w:cs="Arial"/>
          <w:sz w:val="20"/>
          <w:szCs w:val="20"/>
        </w:rPr>
      </w:pPr>
    </w:p>
    <w:p w14:paraId="4C9620B2" w14:textId="77777777" w:rsidR="000F5253" w:rsidRDefault="00CC4801" w:rsidP="00CC36A9">
      <w:pPr>
        <w:spacing w:after="0" w:line="240" w:lineRule="auto"/>
        <w:jc w:val="both"/>
        <w:rPr>
          <w:rFonts w:ascii="Arial" w:hAnsi="Arial" w:cs="Arial"/>
          <w:sz w:val="20"/>
          <w:szCs w:val="20"/>
        </w:rPr>
      </w:pPr>
      <w:r w:rsidRPr="00C0562C">
        <w:rPr>
          <w:rFonts w:ascii="Arial" w:hAnsi="Arial" w:cs="Arial"/>
          <w:sz w:val="20"/>
          <w:szCs w:val="20"/>
        </w:rPr>
        <w:t xml:space="preserve">ONS is in continuous negotiations to ensure </w:t>
      </w:r>
      <w:r w:rsidR="004E3F43">
        <w:rPr>
          <w:rFonts w:ascii="Arial" w:hAnsi="Arial" w:cs="Arial"/>
          <w:sz w:val="20"/>
          <w:szCs w:val="20"/>
        </w:rPr>
        <w:t xml:space="preserve">we have </w:t>
      </w:r>
      <w:r w:rsidRPr="00C0562C">
        <w:rPr>
          <w:rFonts w:ascii="Arial" w:hAnsi="Arial" w:cs="Arial"/>
          <w:sz w:val="20"/>
          <w:szCs w:val="20"/>
        </w:rPr>
        <w:t xml:space="preserve">access to </w:t>
      </w:r>
      <w:r w:rsidR="008C33FD">
        <w:rPr>
          <w:rFonts w:ascii="Arial" w:hAnsi="Arial" w:cs="Arial"/>
          <w:sz w:val="20"/>
          <w:szCs w:val="20"/>
        </w:rPr>
        <w:t>d</w:t>
      </w:r>
      <w:r w:rsidRPr="00C0562C">
        <w:rPr>
          <w:rFonts w:ascii="Arial" w:hAnsi="Arial" w:cs="Arial"/>
          <w:sz w:val="20"/>
          <w:szCs w:val="20"/>
        </w:rPr>
        <w:t>ata needed to produce better statistics. M</w:t>
      </w:r>
      <w:r w:rsidR="006110D3" w:rsidRPr="00C0562C">
        <w:rPr>
          <w:rFonts w:ascii="Arial" w:hAnsi="Arial" w:cs="Arial"/>
          <w:sz w:val="20"/>
          <w:szCs w:val="20"/>
        </w:rPr>
        <w:t>ore specifically</w:t>
      </w:r>
      <w:r w:rsidR="00222E03">
        <w:rPr>
          <w:rFonts w:ascii="Arial" w:hAnsi="Arial" w:cs="Arial"/>
          <w:sz w:val="20"/>
          <w:szCs w:val="20"/>
        </w:rPr>
        <w:t>,</w:t>
      </w:r>
      <w:r w:rsidR="006110D3" w:rsidRPr="00C0562C">
        <w:rPr>
          <w:rFonts w:ascii="Arial" w:hAnsi="Arial" w:cs="Arial"/>
          <w:sz w:val="20"/>
          <w:szCs w:val="20"/>
        </w:rPr>
        <w:t xml:space="preserve"> for the development of the HtC index for the 2021 Census we would ideally have access to Electoral Register data at LSOA level of geography. At present the agreement between ONS and the Cabinet Office is </w:t>
      </w:r>
      <w:r w:rsidR="00867586">
        <w:rPr>
          <w:rFonts w:ascii="Arial" w:hAnsi="Arial" w:cs="Arial"/>
          <w:sz w:val="20"/>
          <w:szCs w:val="20"/>
        </w:rPr>
        <w:t xml:space="preserve">for them </w:t>
      </w:r>
      <w:r w:rsidR="006110D3" w:rsidRPr="00C0562C">
        <w:rPr>
          <w:rFonts w:ascii="Arial" w:hAnsi="Arial" w:cs="Arial"/>
          <w:sz w:val="20"/>
          <w:szCs w:val="20"/>
        </w:rPr>
        <w:t>to provide us with data at Local Authority level. ONS</w:t>
      </w:r>
      <w:r w:rsidR="00E44E14" w:rsidRPr="00C0562C">
        <w:rPr>
          <w:rFonts w:ascii="Arial" w:hAnsi="Arial" w:cs="Arial"/>
          <w:sz w:val="20"/>
          <w:szCs w:val="20"/>
        </w:rPr>
        <w:t xml:space="preserve"> </w:t>
      </w:r>
      <w:r w:rsidR="00B9377D">
        <w:rPr>
          <w:rFonts w:ascii="Arial" w:hAnsi="Arial" w:cs="Arial"/>
          <w:sz w:val="20"/>
          <w:szCs w:val="20"/>
        </w:rPr>
        <w:t>is considering to re</w:t>
      </w:r>
      <w:r w:rsidR="006110D3" w:rsidRPr="00C0562C">
        <w:rPr>
          <w:rFonts w:ascii="Arial" w:hAnsi="Arial" w:cs="Arial"/>
          <w:sz w:val="20"/>
          <w:szCs w:val="20"/>
        </w:rPr>
        <w:t>-open the negotiation</w:t>
      </w:r>
      <w:r w:rsidR="00E44E14" w:rsidRPr="00C0562C">
        <w:rPr>
          <w:rFonts w:ascii="Arial" w:hAnsi="Arial" w:cs="Arial"/>
          <w:sz w:val="20"/>
          <w:szCs w:val="20"/>
        </w:rPr>
        <w:t xml:space="preserve"> to feed the requirements of access to the data at the level of geography needed </w:t>
      </w:r>
      <w:r w:rsidR="00AD236F">
        <w:rPr>
          <w:rFonts w:ascii="Arial" w:hAnsi="Arial" w:cs="Arial"/>
          <w:sz w:val="20"/>
          <w:szCs w:val="20"/>
        </w:rPr>
        <w:t xml:space="preserve">to further improve the Digital domain of the HtC index. </w:t>
      </w:r>
    </w:p>
    <w:p w14:paraId="367137BD" w14:textId="77777777" w:rsidR="00CC36A9" w:rsidRDefault="00CC36A9" w:rsidP="00CC36A9">
      <w:pPr>
        <w:spacing w:after="0" w:line="240" w:lineRule="auto"/>
        <w:jc w:val="both"/>
        <w:rPr>
          <w:rFonts w:ascii="Arial" w:hAnsi="Arial" w:cs="Arial"/>
          <w:sz w:val="20"/>
          <w:szCs w:val="20"/>
        </w:rPr>
      </w:pPr>
    </w:p>
    <w:p w14:paraId="307416CB" w14:textId="77777777" w:rsidR="00026507" w:rsidRDefault="00E60C85" w:rsidP="00CC36A9">
      <w:pPr>
        <w:spacing w:after="0" w:line="240" w:lineRule="auto"/>
        <w:jc w:val="both"/>
        <w:rPr>
          <w:rFonts w:ascii="Arial" w:hAnsi="Arial" w:cs="Arial"/>
          <w:sz w:val="20"/>
          <w:szCs w:val="20"/>
        </w:rPr>
      </w:pPr>
      <w:r>
        <w:rPr>
          <w:rFonts w:ascii="Arial" w:hAnsi="Arial" w:cs="Arial"/>
          <w:sz w:val="20"/>
          <w:szCs w:val="20"/>
        </w:rPr>
        <w:t xml:space="preserve">ONS </w:t>
      </w:r>
      <w:r w:rsidR="000235EB">
        <w:rPr>
          <w:rFonts w:ascii="Arial" w:hAnsi="Arial" w:cs="Arial"/>
          <w:sz w:val="20"/>
          <w:szCs w:val="20"/>
        </w:rPr>
        <w:t>is</w:t>
      </w:r>
      <w:r>
        <w:rPr>
          <w:rFonts w:ascii="Arial" w:hAnsi="Arial" w:cs="Arial"/>
          <w:sz w:val="20"/>
          <w:szCs w:val="20"/>
        </w:rPr>
        <w:t xml:space="preserve"> not only gaining access to administrative data</w:t>
      </w:r>
      <w:r w:rsidR="00125799">
        <w:rPr>
          <w:rFonts w:ascii="Arial" w:hAnsi="Arial" w:cs="Arial"/>
          <w:sz w:val="20"/>
          <w:szCs w:val="20"/>
        </w:rPr>
        <w:t xml:space="preserve"> sources. It is </w:t>
      </w:r>
      <w:r w:rsidR="005453A6">
        <w:rPr>
          <w:rFonts w:ascii="Arial" w:hAnsi="Arial" w:cs="Arial"/>
          <w:sz w:val="20"/>
          <w:szCs w:val="20"/>
        </w:rPr>
        <w:t xml:space="preserve">also </w:t>
      </w:r>
      <w:r w:rsidR="00026507">
        <w:rPr>
          <w:rFonts w:ascii="Arial" w:hAnsi="Arial" w:cs="Arial"/>
          <w:sz w:val="20"/>
          <w:szCs w:val="20"/>
        </w:rPr>
        <w:t xml:space="preserve">conducting research to investigate the </w:t>
      </w:r>
      <w:r w:rsidR="00026507" w:rsidRPr="00026507">
        <w:rPr>
          <w:rFonts w:ascii="Arial" w:hAnsi="Arial" w:cs="Arial"/>
          <w:sz w:val="20"/>
          <w:szCs w:val="20"/>
        </w:rPr>
        <w:t xml:space="preserve">statistical quality of </w:t>
      </w:r>
      <w:r>
        <w:rPr>
          <w:rFonts w:ascii="Arial" w:hAnsi="Arial" w:cs="Arial"/>
          <w:sz w:val="20"/>
          <w:szCs w:val="20"/>
        </w:rPr>
        <w:t xml:space="preserve">the data </w:t>
      </w:r>
      <w:r w:rsidR="00026507">
        <w:rPr>
          <w:rFonts w:ascii="Arial" w:hAnsi="Arial" w:cs="Arial"/>
          <w:sz w:val="20"/>
          <w:szCs w:val="20"/>
        </w:rPr>
        <w:t xml:space="preserve">and </w:t>
      </w:r>
      <w:r w:rsidR="00026507" w:rsidRPr="00026507">
        <w:rPr>
          <w:rFonts w:ascii="Arial" w:hAnsi="Arial" w:cs="Arial"/>
          <w:sz w:val="20"/>
          <w:szCs w:val="20"/>
        </w:rPr>
        <w:t xml:space="preserve">the scope of </w:t>
      </w:r>
      <w:r w:rsidR="009A6457">
        <w:rPr>
          <w:rFonts w:ascii="Arial" w:hAnsi="Arial" w:cs="Arial"/>
          <w:sz w:val="20"/>
          <w:szCs w:val="20"/>
        </w:rPr>
        <w:t>their</w:t>
      </w:r>
      <w:r w:rsidR="00026507" w:rsidRPr="00026507">
        <w:rPr>
          <w:rFonts w:ascii="Arial" w:hAnsi="Arial" w:cs="Arial"/>
          <w:sz w:val="20"/>
          <w:szCs w:val="20"/>
        </w:rPr>
        <w:t xml:space="preserve"> use </w:t>
      </w:r>
      <w:r w:rsidR="00F953D7">
        <w:rPr>
          <w:rFonts w:ascii="Arial" w:hAnsi="Arial" w:cs="Arial"/>
          <w:sz w:val="20"/>
          <w:szCs w:val="20"/>
        </w:rPr>
        <w:t xml:space="preserve">for </w:t>
      </w:r>
      <w:r w:rsidR="00026507" w:rsidRPr="00026507">
        <w:rPr>
          <w:rFonts w:ascii="Arial" w:hAnsi="Arial" w:cs="Arial"/>
          <w:sz w:val="20"/>
          <w:szCs w:val="20"/>
        </w:rPr>
        <w:t xml:space="preserve">either producing Research Outputs </w:t>
      </w:r>
      <w:r w:rsidR="00125799">
        <w:rPr>
          <w:rFonts w:ascii="Arial" w:hAnsi="Arial" w:cs="Arial"/>
          <w:sz w:val="20"/>
          <w:szCs w:val="20"/>
        </w:rPr>
        <w:t>or</w:t>
      </w:r>
      <w:r w:rsidR="00026507" w:rsidRPr="00026507">
        <w:rPr>
          <w:rFonts w:ascii="Arial" w:hAnsi="Arial" w:cs="Arial"/>
          <w:sz w:val="20"/>
          <w:szCs w:val="20"/>
        </w:rPr>
        <w:t xml:space="preserve"> to enhance 2021 Census outputs.</w:t>
      </w:r>
      <w:r w:rsidR="005453A6">
        <w:rPr>
          <w:rFonts w:ascii="Arial" w:hAnsi="Arial" w:cs="Arial"/>
          <w:sz w:val="20"/>
          <w:szCs w:val="20"/>
        </w:rPr>
        <w:t xml:space="preserve"> </w:t>
      </w:r>
      <w:r w:rsidR="003C62EB">
        <w:rPr>
          <w:rFonts w:ascii="Arial" w:hAnsi="Arial" w:cs="Arial"/>
          <w:sz w:val="20"/>
          <w:szCs w:val="20"/>
        </w:rPr>
        <w:t>Information on n</w:t>
      </w:r>
      <w:r w:rsidR="003C62EB" w:rsidRPr="003C62EB">
        <w:rPr>
          <w:rFonts w:ascii="Arial" w:hAnsi="Arial" w:cs="Arial"/>
          <w:sz w:val="20"/>
          <w:szCs w:val="20"/>
        </w:rPr>
        <w:t xml:space="preserve">ew data sources </w:t>
      </w:r>
      <w:r w:rsidR="00F564FE">
        <w:rPr>
          <w:rFonts w:ascii="Arial" w:hAnsi="Arial" w:cs="Arial"/>
          <w:sz w:val="20"/>
          <w:szCs w:val="20"/>
        </w:rPr>
        <w:t xml:space="preserve">investigated for </w:t>
      </w:r>
      <w:r w:rsidR="003C62EB" w:rsidRPr="003C62EB">
        <w:rPr>
          <w:rFonts w:ascii="Arial" w:hAnsi="Arial" w:cs="Arial"/>
          <w:sz w:val="20"/>
          <w:szCs w:val="20"/>
        </w:rPr>
        <w:t xml:space="preserve">the Administrative Data Census Research Outputs, as well as data sources being </w:t>
      </w:r>
      <w:r>
        <w:rPr>
          <w:rFonts w:ascii="Arial" w:hAnsi="Arial" w:cs="Arial"/>
          <w:sz w:val="20"/>
          <w:szCs w:val="20"/>
        </w:rPr>
        <w:t>assessed</w:t>
      </w:r>
      <w:r w:rsidR="003C62EB" w:rsidRPr="003C62EB">
        <w:rPr>
          <w:rFonts w:ascii="Arial" w:hAnsi="Arial" w:cs="Arial"/>
          <w:sz w:val="20"/>
          <w:szCs w:val="20"/>
        </w:rPr>
        <w:t xml:space="preserve"> for use in the 2021 Census</w:t>
      </w:r>
      <w:r w:rsidR="003C62EB">
        <w:rPr>
          <w:rFonts w:ascii="Arial" w:hAnsi="Arial" w:cs="Arial"/>
          <w:sz w:val="20"/>
          <w:szCs w:val="20"/>
        </w:rPr>
        <w:t xml:space="preserve"> </w:t>
      </w:r>
      <w:r w:rsidR="00F237B5">
        <w:rPr>
          <w:rFonts w:ascii="Arial" w:hAnsi="Arial" w:cs="Arial"/>
          <w:sz w:val="20"/>
          <w:szCs w:val="20"/>
        </w:rPr>
        <w:t xml:space="preserve">have been published </w:t>
      </w:r>
      <w:r w:rsidR="009A6457">
        <w:rPr>
          <w:rFonts w:ascii="Arial" w:hAnsi="Arial" w:cs="Arial"/>
          <w:sz w:val="20"/>
          <w:szCs w:val="20"/>
        </w:rPr>
        <w:t xml:space="preserve">and </w:t>
      </w:r>
      <w:r w:rsidR="00697B35">
        <w:rPr>
          <w:rFonts w:ascii="Arial" w:hAnsi="Arial" w:cs="Arial"/>
          <w:sz w:val="20"/>
          <w:szCs w:val="20"/>
        </w:rPr>
        <w:t>are available at ONS website (</w:t>
      </w:r>
      <w:r w:rsidR="003C62EB">
        <w:rPr>
          <w:rFonts w:ascii="Arial" w:hAnsi="Arial" w:cs="Arial"/>
          <w:sz w:val="20"/>
          <w:szCs w:val="20"/>
        </w:rPr>
        <w:t>ONS, 2019)</w:t>
      </w:r>
      <w:r w:rsidR="003C62EB" w:rsidRPr="003C62EB">
        <w:rPr>
          <w:rFonts w:ascii="Arial" w:hAnsi="Arial" w:cs="Arial"/>
          <w:sz w:val="20"/>
          <w:szCs w:val="20"/>
        </w:rPr>
        <w:t>.</w:t>
      </w:r>
    </w:p>
    <w:p w14:paraId="709B2802" w14:textId="77777777" w:rsidR="009A6457" w:rsidRDefault="009A6457" w:rsidP="00CC36A9">
      <w:pPr>
        <w:spacing w:after="0" w:line="240" w:lineRule="auto"/>
        <w:jc w:val="both"/>
        <w:rPr>
          <w:rFonts w:ascii="Arial" w:hAnsi="Arial" w:cs="Arial"/>
          <w:sz w:val="20"/>
          <w:szCs w:val="20"/>
        </w:rPr>
      </w:pPr>
    </w:p>
    <w:p w14:paraId="0B5AD2C2" w14:textId="77777777" w:rsidR="0002094A" w:rsidRPr="00C0562C" w:rsidRDefault="0002094A" w:rsidP="004E7203">
      <w:pPr>
        <w:pStyle w:val="CommentText"/>
        <w:numPr>
          <w:ilvl w:val="0"/>
          <w:numId w:val="8"/>
        </w:numPr>
        <w:jc w:val="both"/>
        <w:rPr>
          <w:rFonts w:ascii="Arial" w:hAnsi="Arial" w:cs="Arial"/>
          <w:b/>
          <w:color w:val="365F91" w:themeColor="accent1" w:themeShade="BF"/>
        </w:rPr>
      </w:pPr>
      <w:r w:rsidRPr="00C0562C">
        <w:rPr>
          <w:rFonts w:ascii="Arial" w:hAnsi="Arial" w:cs="Arial"/>
          <w:b/>
          <w:color w:val="365F91" w:themeColor="accent1" w:themeShade="BF"/>
        </w:rPr>
        <w:t>Recommendations</w:t>
      </w:r>
    </w:p>
    <w:p w14:paraId="36542409" w14:textId="77777777" w:rsidR="00275736" w:rsidRDefault="00A2518C" w:rsidP="00CC36A9">
      <w:pPr>
        <w:pStyle w:val="CommentText"/>
        <w:spacing w:after="0"/>
        <w:jc w:val="both"/>
        <w:rPr>
          <w:rFonts w:ascii="Arial" w:hAnsi="Arial" w:cs="Arial"/>
        </w:rPr>
      </w:pPr>
      <w:r>
        <w:rPr>
          <w:rFonts w:ascii="Arial" w:hAnsi="Arial" w:cs="Arial"/>
        </w:rPr>
        <w:t>The recommendations presented in this section refer to research work conducted and presented in sections 2.2, 3</w:t>
      </w:r>
      <w:r w:rsidR="00D62C15">
        <w:rPr>
          <w:rFonts w:ascii="Arial" w:hAnsi="Arial" w:cs="Arial"/>
        </w:rPr>
        <w:t>.2</w:t>
      </w:r>
      <w:r>
        <w:rPr>
          <w:rFonts w:ascii="Arial" w:hAnsi="Arial" w:cs="Arial"/>
        </w:rPr>
        <w:t xml:space="preserve"> and 4 of this paper.  </w:t>
      </w:r>
      <w:r w:rsidR="00275736">
        <w:rPr>
          <w:rFonts w:ascii="Arial" w:hAnsi="Arial" w:cs="Arial"/>
        </w:rPr>
        <w:t>The recommendations made</w:t>
      </w:r>
      <w:r w:rsidR="0069264D">
        <w:rPr>
          <w:rFonts w:ascii="Arial" w:hAnsi="Arial" w:cs="Arial"/>
        </w:rPr>
        <w:t xml:space="preserve"> referring</w:t>
      </w:r>
      <w:r w:rsidR="00275736">
        <w:rPr>
          <w:rFonts w:ascii="Arial" w:hAnsi="Arial" w:cs="Arial"/>
        </w:rPr>
        <w:t xml:space="preserve"> to the</w:t>
      </w:r>
      <w:r w:rsidR="0069264D">
        <w:rPr>
          <w:rFonts w:ascii="Arial" w:hAnsi="Arial" w:cs="Arial"/>
        </w:rPr>
        <w:t xml:space="preserve"> m</w:t>
      </w:r>
      <w:r w:rsidR="0069264D" w:rsidRPr="0069264D">
        <w:rPr>
          <w:rFonts w:ascii="Arial" w:hAnsi="Arial" w:cs="Arial"/>
        </w:rPr>
        <w:t>ethodology developed to improve the Digital domain of the HtC index</w:t>
      </w:r>
      <w:r w:rsidR="0069264D">
        <w:rPr>
          <w:rFonts w:ascii="Arial" w:hAnsi="Arial" w:cs="Arial"/>
        </w:rPr>
        <w:t xml:space="preserve"> </w:t>
      </w:r>
      <w:r w:rsidR="00B76217">
        <w:rPr>
          <w:rFonts w:ascii="Arial" w:hAnsi="Arial" w:cs="Arial"/>
        </w:rPr>
        <w:t xml:space="preserve">(Section 2.1 of this </w:t>
      </w:r>
      <w:r w:rsidR="0069264D">
        <w:rPr>
          <w:rFonts w:ascii="Arial" w:hAnsi="Arial" w:cs="Arial"/>
        </w:rPr>
        <w:t>paper</w:t>
      </w:r>
      <w:r w:rsidR="00B76217">
        <w:rPr>
          <w:rFonts w:ascii="Arial" w:hAnsi="Arial" w:cs="Arial"/>
        </w:rPr>
        <w:t>)</w:t>
      </w:r>
      <w:r w:rsidR="0069264D">
        <w:rPr>
          <w:rFonts w:ascii="Arial" w:hAnsi="Arial" w:cs="Arial"/>
        </w:rPr>
        <w:t xml:space="preserve"> are </w:t>
      </w:r>
      <w:r w:rsidR="00B76217">
        <w:rPr>
          <w:rFonts w:ascii="Arial" w:hAnsi="Arial" w:cs="Arial"/>
        </w:rPr>
        <w:t>included in that paper</w:t>
      </w:r>
      <w:r w:rsidR="0069264D">
        <w:rPr>
          <w:rFonts w:ascii="Arial" w:hAnsi="Arial" w:cs="Arial"/>
        </w:rPr>
        <w:t xml:space="preserve">. </w:t>
      </w:r>
    </w:p>
    <w:p w14:paraId="54F732A7" w14:textId="77777777" w:rsidR="003A3DAE" w:rsidRDefault="003A3DAE" w:rsidP="00CC36A9">
      <w:pPr>
        <w:pStyle w:val="CommentText"/>
        <w:spacing w:after="0"/>
        <w:jc w:val="both"/>
        <w:rPr>
          <w:rFonts w:ascii="Arial" w:hAnsi="Arial" w:cs="Arial"/>
        </w:rPr>
      </w:pPr>
    </w:p>
    <w:p w14:paraId="2A5F1227" w14:textId="5F594FDE" w:rsidR="00AE28AB" w:rsidRDefault="00AE28AB" w:rsidP="00CC36A9">
      <w:pPr>
        <w:pStyle w:val="ListParagraph"/>
        <w:numPr>
          <w:ilvl w:val="1"/>
          <w:numId w:val="8"/>
        </w:numPr>
        <w:spacing w:after="0" w:line="240" w:lineRule="auto"/>
        <w:jc w:val="both"/>
        <w:rPr>
          <w:rFonts w:ascii="Arial" w:hAnsi="Arial" w:cs="Arial"/>
          <w:sz w:val="20"/>
          <w:szCs w:val="20"/>
        </w:rPr>
      </w:pPr>
      <w:r w:rsidRPr="00AE28AB">
        <w:rPr>
          <w:rFonts w:ascii="Arial" w:hAnsi="Arial" w:cs="Arial"/>
          <w:sz w:val="20"/>
          <w:szCs w:val="20"/>
        </w:rPr>
        <w:t>Recommen</w:t>
      </w:r>
      <w:r w:rsidR="00A655D2">
        <w:rPr>
          <w:rFonts w:ascii="Arial" w:hAnsi="Arial" w:cs="Arial"/>
          <w:sz w:val="20"/>
          <w:szCs w:val="20"/>
        </w:rPr>
        <w:t>dations referring to Section 2.2</w:t>
      </w:r>
    </w:p>
    <w:p w14:paraId="0059F23C" w14:textId="77777777" w:rsidR="00C14976" w:rsidRPr="00C14976" w:rsidRDefault="00C14976" w:rsidP="00C14976">
      <w:pPr>
        <w:spacing w:after="0" w:line="240" w:lineRule="auto"/>
        <w:jc w:val="both"/>
        <w:rPr>
          <w:rFonts w:ascii="Arial" w:hAnsi="Arial" w:cs="Arial"/>
          <w:sz w:val="20"/>
          <w:szCs w:val="20"/>
        </w:rPr>
      </w:pPr>
    </w:p>
    <w:p w14:paraId="1C4821B6" w14:textId="77777777" w:rsidR="003B60B3" w:rsidRPr="003C1709" w:rsidRDefault="003C1709" w:rsidP="00CC36A9">
      <w:pPr>
        <w:pStyle w:val="ListParagraph"/>
        <w:numPr>
          <w:ilvl w:val="0"/>
          <w:numId w:val="20"/>
        </w:numPr>
        <w:spacing w:after="0" w:line="240" w:lineRule="auto"/>
        <w:jc w:val="both"/>
        <w:rPr>
          <w:rFonts w:ascii="Arial" w:hAnsi="Arial" w:cs="Arial"/>
          <w:sz w:val="20"/>
          <w:szCs w:val="20"/>
        </w:rPr>
      </w:pPr>
      <w:r w:rsidRPr="003C1709">
        <w:rPr>
          <w:rFonts w:ascii="Arial" w:hAnsi="Arial" w:cs="Arial"/>
          <w:sz w:val="20"/>
          <w:szCs w:val="20"/>
        </w:rPr>
        <w:t>We do not re</w:t>
      </w:r>
      <w:r w:rsidR="003B60B3" w:rsidRPr="003C1709">
        <w:rPr>
          <w:rFonts w:ascii="Arial" w:hAnsi="Arial" w:cs="Arial"/>
          <w:sz w:val="20"/>
          <w:szCs w:val="20"/>
        </w:rPr>
        <w:t xml:space="preserve">commend </w:t>
      </w:r>
      <w:r>
        <w:rPr>
          <w:rFonts w:ascii="Arial" w:hAnsi="Arial" w:cs="Arial"/>
          <w:sz w:val="20"/>
          <w:szCs w:val="20"/>
        </w:rPr>
        <w:t>the inclusion of</w:t>
      </w:r>
      <w:r w:rsidRPr="003C1709">
        <w:rPr>
          <w:rFonts w:ascii="Arial" w:hAnsi="Arial" w:cs="Arial"/>
          <w:sz w:val="20"/>
          <w:szCs w:val="20"/>
        </w:rPr>
        <w:t xml:space="preserve"> DVLA data on online transactions as a </w:t>
      </w:r>
      <w:r w:rsidR="003B60B3" w:rsidRPr="003C1709">
        <w:rPr>
          <w:rFonts w:ascii="Arial" w:hAnsi="Arial" w:cs="Arial"/>
          <w:sz w:val="20"/>
          <w:szCs w:val="20"/>
        </w:rPr>
        <w:t>covariate in</w:t>
      </w:r>
      <w:r w:rsidRPr="003C1709">
        <w:rPr>
          <w:rFonts w:ascii="Arial" w:hAnsi="Arial" w:cs="Arial"/>
          <w:sz w:val="20"/>
          <w:szCs w:val="20"/>
        </w:rPr>
        <w:t xml:space="preserve">to the </w:t>
      </w:r>
      <w:r w:rsidR="002A2FCF">
        <w:rPr>
          <w:rFonts w:ascii="Arial" w:hAnsi="Arial" w:cs="Arial"/>
          <w:sz w:val="20"/>
          <w:szCs w:val="20"/>
        </w:rPr>
        <w:t xml:space="preserve">model used to build the </w:t>
      </w:r>
      <w:r w:rsidRPr="003C1709">
        <w:rPr>
          <w:rFonts w:ascii="Arial" w:hAnsi="Arial" w:cs="Arial"/>
          <w:sz w:val="20"/>
          <w:szCs w:val="20"/>
        </w:rPr>
        <w:t xml:space="preserve">Willingness </w:t>
      </w:r>
      <w:r w:rsidR="002A2FCF">
        <w:rPr>
          <w:rFonts w:ascii="Arial" w:hAnsi="Arial" w:cs="Arial"/>
          <w:sz w:val="20"/>
          <w:szCs w:val="20"/>
        </w:rPr>
        <w:t xml:space="preserve">domain of the HtC index </w:t>
      </w:r>
      <w:r w:rsidR="003B60B3" w:rsidRPr="003C1709">
        <w:rPr>
          <w:rFonts w:ascii="Arial" w:hAnsi="Arial" w:cs="Arial"/>
          <w:sz w:val="20"/>
          <w:szCs w:val="20"/>
        </w:rPr>
        <w:t>for the following reasons:</w:t>
      </w:r>
    </w:p>
    <w:p w14:paraId="1641F7CB" w14:textId="77777777" w:rsidR="003B60B3" w:rsidRDefault="003B60B3" w:rsidP="00CC36A9">
      <w:pPr>
        <w:pStyle w:val="ListParagraph"/>
        <w:numPr>
          <w:ilvl w:val="0"/>
          <w:numId w:val="19"/>
        </w:numPr>
        <w:spacing w:after="0" w:line="240" w:lineRule="auto"/>
        <w:jc w:val="both"/>
        <w:rPr>
          <w:rFonts w:ascii="Arial" w:hAnsi="Arial" w:cs="Arial"/>
          <w:sz w:val="20"/>
          <w:szCs w:val="20"/>
        </w:rPr>
      </w:pPr>
      <w:r w:rsidRPr="00C0562C">
        <w:rPr>
          <w:rFonts w:ascii="Arial" w:hAnsi="Arial" w:cs="Arial"/>
          <w:sz w:val="20"/>
          <w:szCs w:val="20"/>
        </w:rPr>
        <w:t>we do not have DVLA data for 2011 to build the parameters for the model and apply them to more up-to-date DVLA data to get the predicted values. DVLA data provided to ONS goes back to 2016. Using 2016 data to build parameters for a 2011 outcome variable would not be best methodological approach</w:t>
      </w:r>
      <w:r w:rsidR="00AE28AB">
        <w:rPr>
          <w:rFonts w:ascii="Arial" w:hAnsi="Arial" w:cs="Arial"/>
          <w:sz w:val="20"/>
          <w:szCs w:val="20"/>
        </w:rPr>
        <w:t>.</w:t>
      </w:r>
      <w:r w:rsidRPr="00C0562C">
        <w:rPr>
          <w:rFonts w:ascii="Arial" w:hAnsi="Arial" w:cs="Arial"/>
          <w:sz w:val="20"/>
          <w:szCs w:val="20"/>
        </w:rPr>
        <w:t xml:space="preserve"> </w:t>
      </w:r>
    </w:p>
    <w:p w14:paraId="7BCBF4D1" w14:textId="77777777" w:rsidR="00275736" w:rsidRPr="003C1709" w:rsidRDefault="003C1709" w:rsidP="00CC36A9">
      <w:pPr>
        <w:pStyle w:val="ListParagraph"/>
        <w:numPr>
          <w:ilvl w:val="0"/>
          <w:numId w:val="19"/>
        </w:numPr>
        <w:spacing w:after="0" w:line="240" w:lineRule="auto"/>
        <w:jc w:val="both"/>
        <w:rPr>
          <w:rFonts w:ascii="Arial" w:hAnsi="Arial" w:cs="Arial"/>
        </w:rPr>
      </w:pPr>
      <w:r w:rsidRPr="003C1709">
        <w:rPr>
          <w:rFonts w:ascii="Arial" w:hAnsi="Arial" w:cs="Arial"/>
          <w:sz w:val="20"/>
          <w:szCs w:val="20"/>
        </w:rPr>
        <w:lastRenderedPageBreak/>
        <w:t>the</w:t>
      </w:r>
      <w:r w:rsidR="003B60B3" w:rsidRPr="003C1709">
        <w:rPr>
          <w:rFonts w:ascii="Arial" w:hAnsi="Arial" w:cs="Arial"/>
          <w:sz w:val="20"/>
          <w:szCs w:val="20"/>
        </w:rPr>
        <w:t xml:space="preserve"> results given by the model including DVLA as a covariate (despite the constraints explained in item a) did not improve the fit of the previous model to a significant degree to justify its inclusion.</w:t>
      </w:r>
    </w:p>
    <w:p w14:paraId="5A7C0078" w14:textId="77777777" w:rsidR="00C43227" w:rsidRPr="00C43227" w:rsidRDefault="00AE28AB" w:rsidP="00CC36A9">
      <w:pPr>
        <w:pStyle w:val="CommentText"/>
        <w:numPr>
          <w:ilvl w:val="0"/>
          <w:numId w:val="20"/>
        </w:numPr>
        <w:spacing w:after="0"/>
        <w:jc w:val="both"/>
        <w:rPr>
          <w:rFonts w:ascii="Arial" w:hAnsi="Arial" w:cs="Arial"/>
        </w:rPr>
      </w:pPr>
      <w:r w:rsidRPr="00C43227">
        <w:rPr>
          <w:rFonts w:ascii="Arial" w:hAnsi="Arial" w:cs="Arial"/>
        </w:rPr>
        <w:t xml:space="preserve">The predicted values given by the </w:t>
      </w:r>
      <w:r w:rsidR="00FA5769">
        <w:rPr>
          <w:rFonts w:ascii="Arial" w:hAnsi="Arial" w:cs="Arial"/>
        </w:rPr>
        <w:t xml:space="preserve">model to build the </w:t>
      </w:r>
      <w:r w:rsidRPr="00C43227">
        <w:rPr>
          <w:rFonts w:ascii="Arial" w:hAnsi="Arial" w:cs="Arial"/>
        </w:rPr>
        <w:t xml:space="preserve">Willingness </w:t>
      </w:r>
      <w:r w:rsidR="00FA5769">
        <w:rPr>
          <w:rFonts w:ascii="Arial" w:hAnsi="Arial" w:cs="Arial"/>
        </w:rPr>
        <w:t>domain of the HtC index</w:t>
      </w:r>
      <w:r w:rsidRPr="00C43227">
        <w:rPr>
          <w:rFonts w:ascii="Arial" w:hAnsi="Arial" w:cs="Arial"/>
        </w:rPr>
        <w:t xml:space="preserve"> </w:t>
      </w:r>
      <w:r w:rsidR="00C43227" w:rsidRPr="00C43227">
        <w:rPr>
          <w:rFonts w:ascii="Arial" w:hAnsi="Arial" w:cs="Arial"/>
        </w:rPr>
        <w:t xml:space="preserve">should not be taken as </w:t>
      </w:r>
      <w:r w:rsidR="00C43227">
        <w:rPr>
          <w:rFonts w:ascii="Arial" w:hAnsi="Arial" w:cs="Arial"/>
        </w:rPr>
        <w:t>the</w:t>
      </w:r>
      <w:r w:rsidR="00C43227" w:rsidRPr="00C43227">
        <w:rPr>
          <w:rFonts w:ascii="Arial" w:hAnsi="Arial" w:cs="Arial"/>
        </w:rPr>
        <w:t xml:space="preserve"> actual responses to the 2021 Census. The predicted values are to be used only as the likelihood of LSOAs (a rank of</w:t>
      </w:r>
      <w:r w:rsidR="0036597F">
        <w:rPr>
          <w:rFonts w:ascii="Arial" w:hAnsi="Arial" w:cs="Arial"/>
        </w:rPr>
        <w:t xml:space="preserve"> areas</w:t>
      </w:r>
      <w:r w:rsidR="00C43227" w:rsidRPr="00C43227">
        <w:rPr>
          <w:rFonts w:ascii="Arial" w:hAnsi="Arial" w:cs="Arial"/>
        </w:rPr>
        <w:t xml:space="preserve">) according to their </w:t>
      </w:r>
      <w:r w:rsidR="00C43227">
        <w:rPr>
          <w:rFonts w:ascii="Arial" w:hAnsi="Arial" w:cs="Arial"/>
        </w:rPr>
        <w:t>willingness</w:t>
      </w:r>
      <w:r w:rsidR="00C43227" w:rsidRPr="00C43227">
        <w:rPr>
          <w:rFonts w:ascii="Arial" w:hAnsi="Arial" w:cs="Arial"/>
        </w:rPr>
        <w:t xml:space="preserve"> to respond to a census. </w:t>
      </w:r>
    </w:p>
    <w:p w14:paraId="622ACFE3" w14:textId="77777777" w:rsidR="00275736" w:rsidRDefault="00275736" w:rsidP="00CC36A9">
      <w:pPr>
        <w:pStyle w:val="CommentText"/>
        <w:numPr>
          <w:ilvl w:val="0"/>
          <w:numId w:val="20"/>
        </w:numPr>
        <w:spacing w:after="0"/>
        <w:jc w:val="both"/>
        <w:rPr>
          <w:rFonts w:ascii="Arial" w:hAnsi="Arial" w:cs="Arial"/>
        </w:rPr>
      </w:pPr>
      <w:r w:rsidRPr="00275736">
        <w:rPr>
          <w:rFonts w:ascii="Arial" w:hAnsi="Arial" w:cs="Arial"/>
        </w:rPr>
        <w:t xml:space="preserve">The </w:t>
      </w:r>
      <w:r w:rsidR="00AE28AB">
        <w:rPr>
          <w:rFonts w:ascii="Arial" w:hAnsi="Arial" w:cs="Arial"/>
        </w:rPr>
        <w:t xml:space="preserve">HtC categories </w:t>
      </w:r>
      <w:r w:rsidR="00B23B1A">
        <w:rPr>
          <w:rFonts w:ascii="Arial" w:hAnsi="Arial" w:cs="Arial"/>
        </w:rPr>
        <w:t xml:space="preserve">of the Willingness domain </w:t>
      </w:r>
      <w:r w:rsidRPr="00275736">
        <w:rPr>
          <w:rFonts w:ascii="Arial" w:hAnsi="Arial" w:cs="Arial"/>
        </w:rPr>
        <w:t xml:space="preserve">should be used in conjunction with the </w:t>
      </w:r>
      <w:r w:rsidR="00640B34">
        <w:rPr>
          <w:rFonts w:ascii="Arial" w:hAnsi="Arial" w:cs="Arial"/>
        </w:rPr>
        <w:t xml:space="preserve">HtC categories of the </w:t>
      </w:r>
      <w:r w:rsidR="00AE28AB">
        <w:rPr>
          <w:rFonts w:ascii="Arial" w:hAnsi="Arial" w:cs="Arial"/>
        </w:rPr>
        <w:t>Digital</w:t>
      </w:r>
      <w:r w:rsidRPr="00275736">
        <w:rPr>
          <w:rFonts w:ascii="Arial" w:hAnsi="Arial" w:cs="Arial"/>
        </w:rPr>
        <w:t xml:space="preserve"> domain for planning areas where paper questionnaires are to be sent as first approach to households</w:t>
      </w:r>
      <w:r w:rsidR="008F2358">
        <w:rPr>
          <w:rFonts w:ascii="Arial" w:hAnsi="Arial" w:cs="Arial"/>
        </w:rPr>
        <w:t>.</w:t>
      </w:r>
      <w:r w:rsidRPr="00275736">
        <w:rPr>
          <w:rFonts w:ascii="Arial" w:hAnsi="Arial" w:cs="Arial"/>
        </w:rPr>
        <w:t xml:space="preserve"> </w:t>
      </w:r>
    </w:p>
    <w:p w14:paraId="1F761E92" w14:textId="77777777" w:rsidR="003A3DAE" w:rsidRDefault="003A3DAE" w:rsidP="003A3DAE">
      <w:pPr>
        <w:pStyle w:val="CommentText"/>
        <w:spacing w:after="0"/>
        <w:jc w:val="both"/>
        <w:rPr>
          <w:rFonts w:ascii="Arial" w:hAnsi="Arial" w:cs="Arial"/>
        </w:rPr>
      </w:pPr>
    </w:p>
    <w:p w14:paraId="117F781F" w14:textId="2F25BE4E" w:rsidR="0027224C" w:rsidRDefault="0027224C" w:rsidP="00CC36A9">
      <w:pPr>
        <w:pStyle w:val="ListParagraph"/>
        <w:numPr>
          <w:ilvl w:val="1"/>
          <w:numId w:val="8"/>
        </w:numPr>
        <w:spacing w:after="0" w:line="240" w:lineRule="auto"/>
        <w:jc w:val="both"/>
        <w:rPr>
          <w:rFonts w:ascii="Arial" w:hAnsi="Arial" w:cs="Arial"/>
          <w:sz w:val="20"/>
          <w:szCs w:val="20"/>
        </w:rPr>
      </w:pPr>
      <w:r w:rsidRPr="0027224C">
        <w:rPr>
          <w:rFonts w:ascii="Arial" w:hAnsi="Arial" w:cs="Arial"/>
          <w:sz w:val="20"/>
          <w:szCs w:val="20"/>
        </w:rPr>
        <w:t xml:space="preserve">Recommendations referring to Section </w:t>
      </w:r>
      <w:r>
        <w:rPr>
          <w:rFonts w:ascii="Arial" w:hAnsi="Arial" w:cs="Arial"/>
          <w:sz w:val="20"/>
          <w:szCs w:val="20"/>
        </w:rPr>
        <w:t>3</w:t>
      </w:r>
      <w:r w:rsidR="00402003">
        <w:rPr>
          <w:rFonts w:ascii="Arial" w:hAnsi="Arial" w:cs="Arial"/>
          <w:sz w:val="20"/>
          <w:szCs w:val="20"/>
        </w:rPr>
        <w:t>.2</w:t>
      </w:r>
    </w:p>
    <w:p w14:paraId="5602842F" w14:textId="77777777" w:rsidR="00C14976" w:rsidRPr="00C14976" w:rsidRDefault="00C14976" w:rsidP="00C14976">
      <w:pPr>
        <w:spacing w:after="0" w:line="240" w:lineRule="auto"/>
        <w:jc w:val="both"/>
        <w:rPr>
          <w:rFonts w:ascii="Arial" w:hAnsi="Arial" w:cs="Arial"/>
          <w:sz w:val="20"/>
          <w:szCs w:val="20"/>
        </w:rPr>
      </w:pPr>
    </w:p>
    <w:p w14:paraId="622FEFC3" w14:textId="77777777" w:rsidR="00640B34" w:rsidRDefault="00640B34" w:rsidP="00CC36A9">
      <w:pPr>
        <w:spacing w:after="0" w:line="240" w:lineRule="auto"/>
        <w:jc w:val="both"/>
        <w:rPr>
          <w:rFonts w:ascii="Arial" w:hAnsi="Arial" w:cs="Arial"/>
          <w:sz w:val="20"/>
          <w:szCs w:val="20"/>
        </w:rPr>
      </w:pPr>
      <w:r>
        <w:rPr>
          <w:rFonts w:ascii="Arial" w:hAnsi="Arial" w:cs="Arial"/>
          <w:sz w:val="20"/>
          <w:szCs w:val="20"/>
        </w:rPr>
        <w:t>We highly recommend</w:t>
      </w:r>
      <w:r w:rsidR="00984D52">
        <w:rPr>
          <w:rFonts w:ascii="Arial" w:hAnsi="Arial" w:cs="Arial"/>
          <w:sz w:val="20"/>
          <w:szCs w:val="20"/>
        </w:rPr>
        <w:t xml:space="preserve"> the </w:t>
      </w:r>
      <w:r w:rsidR="005919F4">
        <w:rPr>
          <w:rFonts w:ascii="Arial" w:hAnsi="Arial" w:cs="Arial"/>
          <w:sz w:val="20"/>
          <w:szCs w:val="20"/>
        </w:rPr>
        <w:t xml:space="preserve">proposed </w:t>
      </w:r>
      <w:r w:rsidR="00984D52">
        <w:rPr>
          <w:rFonts w:ascii="Arial" w:hAnsi="Arial" w:cs="Arial"/>
          <w:sz w:val="20"/>
          <w:szCs w:val="20"/>
        </w:rPr>
        <w:t xml:space="preserve">plan for </w:t>
      </w:r>
      <w:r w:rsidR="00A442E1">
        <w:rPr>
          <w:rFonts w:ascii="Arial" w:hAnsi="Arial" w:cs="Arial"/>
          <w:sz w:val="20"/>
          <w:szCs w:val="20"/>
        </w:rPr>
        <w:t>a</w:t>
      </w:r>
      <w:r w:rsidR="00984D52">
        <w:rPr>
          <w:rFonts w:ascii="Arial" w:hAnsi="Arial" w:cs="Arial"/>
          <w:sz w:val="20"/>
          <w:szCs w:val="20"/>
        </w:rPr>
        <w:t xml:space="preserve"> </w:t>
      </w:r>
      <w:r w:rsidR="001739A6" w:rsidRPr="00C0562C">
        <w:rPr>
          <w:rFonts w:ascii="Arial" w:hAnsi="Arial" w:cs="Arial"/>
          <w:sz w:val="20"/>
          <w:szCs w:val="20"/>
        </w:rPr>
        <w:t xml:space="preserve">strategy to maximise response in the 2021 Census using a combination of the two domains of the HtC index. </w:t>
      </w:r>
      <w:r w:rsidR="00A442E1">
        <w:rPr>
          <w:rFonts w:ascii="Arial" w:hAnsi="Arial" w:cs="Arial"/>
          <w:sz w:val="20"/>
          <w:szCs w:val="20"/>
        </w:rPr>
        <w:t>The HtC domains</w:t>
      </w:r>
      <w:r w:rsidR="001739A6" w:rsidRPr="00C0562C">
        <w:rPr>
          <w:rFonts w:ascii="Arial" w:hAnsi="Arial" w:cs="Arial"/>
          <w:sz w:val="20"/>
          <w:szCs w:val="20"/>
        </w:rPr>
        <w:t xml:space="preserve"> will be used to plan where paper questionnaires will be sent as first contact to households and where assisted digi</w:t>
      </w:r>
      <w:r>
        <w:rPr>
          <w:rFonts w:ascii="Arial" w:hAnsi="Arial" w:cs="Arial"/>
          <w:sz w:val="20"/>
          <w:szCs w:val="20"/>
        </w:rPr>
        <w:t xml:space="preserve">tal centres should be situated. </w:t>
      </w:r>
    </w:p>
    <w:p w14:paraId="640DF603" w14:textId="77777777" w:rsidR="00984D52" w:rsidRDefault="00984D52" w:rsidP="00CC36A9">
      <w:pPr>
        <w:spacing w:after="0" w:line="240" w:lineRule="auto"/>
        <w:jc w:val="both"/>
        <w:rPr>
          <w:rFonts w:ascii="Arial" w:hAnsi="Arial" w:cs="Arial"/>
          <w:sz w:val="20"/>
          <w:szCs w:val="20"/>
        </w:rPr>
      </w:pPr>
    </w:p>
    <w:p w14:paraId="06A3B9B2" w14:textId="77777777" w:rsidR="001739A6" w:rsidRPr="001739A6" w:rsidRDefault="001739A6" w:rsidP="00CC36A9">
      <w:pPr>
        <w:spacing w:after="0" w:line="240" w:lineRule="auto"/>
        <w:jc w:val="both"/>
        <w:rPr>
          <w:rFonts w:ascii="Arial" w:hAnsi="Arial" w:cs="Arial"/>
          <w:sz w:val="20"/>
          <w:szCs w:val="20"/>
        </w:rPr>
      </w:pPr>
      <w:r w:rsidRPr="001739A6">
        <w:rPr>
          <w:rFonts w:ascii="Arial" w:hAnsi="Arial" w:cs="Arial"/>
          <w:sz w:val="20"/>
          <w:szCs w:val="20"/>
        </w:rPr>
        <w:t>The four different options for receiving paper questionnaires</w:t>
      </w:r>
      <w:r>
        <w:rPr>
          <w:rFonts w:ascii="Arial" w:hAnsi="Arial" w:cs="Arial"/>
          <w:sz w:val="20"/>
          <w:szCs w:val="20"/>
        </w:rPr>
        <w:t xml:space="preserve"> will be tested in the 2019 Census rehearsal. We recommend the results to be analysed to evaluate if both domains of the HtC index are good discriminators of </w:t>
      </w:r>
      <w:r w:rsidR="00D60BEB">
        <w:rPr>
          <w:rFonts w:ascii="Arial" w:hAnsi="Arial" w:cs="Arial"/>
          <w:sz w:val="20"/>
          <w:szCs w:val="20"/>
        </w:rPr>
        <w:t xml:space="preserve">online and paper </w:t>
      </w:r>
      <w:r>
        <w:rPr>
          <w:rFonts w:ascii="Arial" w:hAnsi="Arial" w:cs="Arial"/>
          <w:sz w:val="20"/>
          <w:szCs w:val="20"/>
        </w:rPr>
        <w:t xml:space="preserve">responses.  </w:t>
      </w:r>
    </w:p>
    <w:p w14:paraId="521784A8" w14:textId="77777777" w:rsidR="00FB797F" w:rsidRDefault="00FB797F" w:rsidP="00CC36A9">
      <w:pPr>
        <w:spacing w:after="0" w:line="240" w:lineRule="auto"/>
        <w:jc w:val="both"/>
        <w:rPr>
          <w:rFonts w:ascii="Arial" w:hAnsi="Arial" w:cs="Arial"/>
          <w:sz w:val="20"/>
          <w:szCs w:val="20"/>
        </w:rPr>
      </w:pPr>
    </w:p>
    <w:p w14:paraId="6B48F433" w14:textId="7DA093EC" w:rsidR="00714D85" w:rsidRDefault="00714D85" w:rsidP="00CC36A9">
      <w:pPr>
        <w:pStyle w:val="ListParagraph"/>
        <w:numPr>
          <w:ilvl w:val="1"/>
          <w:numId w:val="8"/>
        </w:numPr>
        <w:spacing w:after="0" w:line="240" w:lineRule="auto"/>
        <w:jc w:val="both"/>
        <w:rPr>
          <w:rFonts w:ascii="Arial" w:hAnsi="Arial" w:cs="Arial"/>
          <w:sz w:val="20"/>
          <w:szCs w:val="20"/>
        </w:rPr>
      </w:pPr>
      <w:r w:rsidRPr="002B7FEF">
        <w:rPr>
          <w:rFonts w:ascii="Arial" w:hAnsi="Arial" w:cs="Arial"/>
          <w:sz w:val="20"/>
          <w:szCs w:val="20"/>
        </w:rPr>
        <w:t>Recommendations referring to Section 4</w:t>
      </w:r>
    </w:p>
    <w:p w14:paraId="1457D067" w14:textId="77777777" w:rsidR="00C14976" w:rsidRPr="00C14976" w:rsidRDefault="00C14976" w:rsidP="00C14976">
      <w:pPr>
        <w:spacing w:after="0" w:line="240" w:lineRule="auto"/>
        <w:jc w:val="both"/>
        <w:rPr>
          <w:rFonts w:ascii="Arial" w:hAnsi="Arial" w:cs="Arial"/>
          <w:sz w:val="20"/>
          <w:szCs w:val="20"/>
        </w:rPr>
      </w:pPr>
    </w:p>
    <w:p w14:paraId="68CD3A31" w14:textId="77777777" w:rsidR="0027599D" w:rsidRPr="002B7FEF" w:rsidRDefault="0027599D" w:rsidP="00CC36A9">
      <w:pPr>
        <w:spacing w:after="0" w:line="240" w:lineRule="auto"/>
        <w:jc w:val="both"/>
        <w:rPr>
          <w:rFonts w:ascii="Arial" w:hAnsi="Arial" w:cs="Arial"/>
          <w:sz w:val="20"/>
          <w:szCs w:val="20"/>
        </w:rPr>
      </w:pPr>
      <w:r w:rsidRPr="002B7FEF">
        <w:rPr>
          <w:rFonts w:ascii="Arial" w:hAnsi="Arial" w:cs="Arial"/>
          <w:sz w:val="20"/>
          <w:szCs w:val="20"/>
        </w:rPr>
        <w:t>ONS is in continuous negotiations to ensure access to data needed to produce better statistics.</w:t>
      </w:r>
    </w:p>
    <w:p w14:paraId="243E58C6" w14:textId="77777777" w:rsidR="0006500F" w:rsidRDefault="0027599D" w:rsidP="00AC31ED">
      <w:pPr>
        <w:spacing w:after="0" w:line="240" w:lineRule="auto"/>
        <w:jc w:val="both"/>
        <w:rPr>
          <w:rFonts w:ascii="Arial" w:hAnsi="Arial" w:cs="Arial"/>
          <w:sz w:val="20"/>
          <w:szCs w:val="20"/>
        </w:rPr>
      </w:pPr>
      <w:r w:rsidRPr="002B7FEF">
        <w:rPr>
          <w:rFonts w:ascii="Arial" w:hAnsi="Arial" w:cs="Arial"/>
          <w:sz w:val="20"/>
          <w:szCs w:val="20"/>
        </w:rPr>
        <w:t xml:space="preserve">We recommend ONS to continue the negotiations to gain access to </w:t>
      </w:r>
      <w:r w:rsidR="00511FE4" w:rsidRPr="002B7FEF">
        <w:rPr>
          <w:rFonts w:ascii="Arial" w:hAnsi="Arial" w:cs="Arial"/>
          <w:sz w:val="20"/>
          <w:szCs w:val="20"/>
        </w:rPr>
        <w:t>the</w:t>
      </w:r>
      <w:r w:rsidR="00275736" w:rsidRPr="002B7FEF">
        <w:rPr>
          <w:rFonts w:ascii="Arial" w:hAnsi="Arial" w:cs="Arial"/>
          <w:sz w:val="20"/>
          <w:szCs w:val="20"/>
        </w:rPr>
        <w:t xml:space="preserve"> </w:t>
      </w:r>
      <w:r w:rsidR="00826C91">
        <w:rPr>
          <w:rFonts w:ascii="Arial" w:hAnsi="Arial" w:cs="Arial"/>
          <w:sz w:val="20"/>
          <w:szCs w:val="20"/>
        </w:rPr>
        <w:t>E</w:t>
      </w:r>
      <w:r w:rsidR="00275736" w:rsidRPr="002B7FEF">
        <w:rPr>
          <w:rFonts w:ascii="Arial" w:hAnsi="Arial" w:cs="Arial"/>
          <w:sz w:val="20"/>
          <w:szCs w:val="20"/>
        </w:rPr>
        <w:t xml:space="preserve">lectoral </w:t>
      </w:r>
      <w:r w:rsidR="00826C91">
        <w:rPr>
          <w:rFonts w:ascii="Arial" w:hAnsi="Arial" w:cs="Arial"/>
          <w:sz w:val="20"/>
          <w:szCs w:val="20"/>
        </w:rPr>
        <w:t>R</w:t>
      </w:r>
      <w:r w:rsidR="00275736" w:rsidRPr="002B7FEF">
        <w:rPr>
          <w:rFonts w:ascii="Arial" w:hAnsi="Arial" w:cs="Arial"/>
          <w:sz w:val="20"/>
          <w:szCs w:val="20"/>
        </w:rPr>
        <w:t>egister data at LSOA level</w:t>
      </w:r>
      <w:r w:rsidR="00511FE4" w:rsidRPr="002B7FEF">
        <w:rPr>
          <w:rFonts w:ascii="Arial" w:hAnsi="Arial" w:cs="Arial"/>
          <w:sz w:val="20"/>
          <w:szCs w:val="20"/>
        </w:rPr>
        <w:t xml:space="preserve"> of geography. </w:t>
      </w:r>
      <w:r w:rsidR="00AC31ED">
        <w:rPr>
          <w:rFonts w:ascii="Arial" w:hAnsi="Arial" w:cs="Arial"/>
          <w:sz w:val="20"/>
          <w:szCs w:val="20"/>
        </w:rPr>
        <w:t xml:space="preserve">This </w:t>
      </w:r>
      <w:r w:rsidR="00A9670C">
        <w:rPr>
          <w:rFonts w:ascii="Arial" w:hAnsi="Arial" w:cs="Arial"/>
          <w:sz w:val="20"/>
          <w:szCs w:val="20"/>
        </w:rPr>
        <w:t>should</w:t>
      </w:r>
      <w:r w:rsidR="00AC31ED">
        <w:rPr>
          <w:rFonts w:ascii="Arial" w:hAnsi="Arial" w:cs="Arial"/>
          <w:sz w:val="20"/>
          <w:szCs w:val="20"/>
        </w:rPr>
        <w:t xml:space="preserve"> be considered according to ONS priorities for access to other data sources relevant </w:t>
      </w:r>
      <w:r w:rsidR="00A9670C">
        <w:rPr>
          <w:rFonts w:ascii="Arial" w:hAnsi="Arial" w:cs="Arial"/>
          <w:sz w:val="20"/>
          <w:szCs w:val="20"/>
        </w:rPr>
        <w:t xml:space="preserve">to </w:t>
      </w:r>
      <w:r w:rsidR="00AC31ED">
        <w:rPr>
          <w:rFonts w:ascii="Arial" w:hAnsi="Arial" w:cs="Arial"/>
          <w:sz w:val="20"/>
          <w:szCs w:val="20"/>
        </w:rPr>
        <w:t xml:space="preserve">the 2021 Census. </w:t>
      </w:r>
    </w:p>
    <w:p w14:paraId="06E057C9" w14:textId="77777777" w:rsidR="00AC31ED" w:rsidRPr="00275736" w:rsidRDefault="00AC31ED" w:rsidP="00AC31ED">
      <w:pPr>
        <w:spacing w:after="0" w:line="240" w:lineRule="auto"/>
        <w:jc w:val="both"/>
        <w:rPr>
          <w:rFonts w:ascii="Arial" w:hAnsi="Arial" w:cs="Arial"/>
        </w:rPr>
      </w:pPr>
    </w:p>
    <w:p w14:paraId="5F47BE54" w14:textId="77777777" w:rsidR="00C14976" w:rsidRDefault="00C14976">
      <w:pPr>
        <w:suppressAutoHyphens w:val="0"/>
        <w:autoSpaceDN/>
        <w:textAlignment w:val="auto"/>
        <w:rPr>
          <w:rFonts w:ascii="Arial" w:hAnsi="Arial" w:cs="Arial"/>
          <w:b/>
          <w:color w:val="365F91" w:themeColor="accent1" w:themeShade="BF"/>
          <w:sz w:val="20"/>
          <w:szCs w:val="20"/>
        </w:rPr>
      </w:pPr>
      <w:r>
        <w:rPr>
          <w:rFonts w:ascii="Arial" w:hAnsi="Arial" w:cs="Arial"/>
          <w:b/>
          <w:color w:val="365F91" w:themeColor="accent1" w:themeShade="BF"/>
        </w:rPr>
        <w:br w:type="page"/>
      </w:r>
    </w:p>
    <w:p w14:paraId="679461CE" w14:textId="187F1B51" w:rsidR="00906A57" w:rsidRPr="00C0562C" w:rsidRDefault="0041693E" w:rsidP="004E7203">
      <w:pPr>
        <w:pStyle w:val="CommentText"/>
        <w:numPr>
          <w:ilvl w:val="0"/>
          <w:numId w:val="8"/>
        </w:numPr>
        <w:jc w:val="both"/>
        <w:rPr>
          <w:rFonts w:ascii="Arial" w:hAnsi="Arial" w:cs="Arial"/>
          <w:b/>
          <w:color w:val="365F91" w:themeColor="accent1" w:themeShade="BF"/>
        </w:rPr>
      </w:pPr>
      <w:r w:rsidRPr="00C0562C">
        <w:rPr>
          <w:rFonts w:ascii="Arial" w:hAnsi="Arial" w:cs="Arial"/>
          <w:b/>
          <w:color w:val="365F91" w:themeColor="accent1" w:themeShade="BF"/>
        </w:rPr>
        <w:lastRenderedPageBreak/>
        <w:t>R</w:t>
      </w:r>
      <w:r w:rsidR="009E674A" w:rsidRPr="00C0562C">
        <w:rPr>
          <w:rFonts w:ascii="Arial" w:hAnsi="Arial" w:cs="Arial"/>
          <w:b/>
          <w:color w:val="365F91" w:themeColor="accent1" w:themeShade="BF"/>
        </w:rPr>
        <w:t>efere</w:t>
      </w:r>
      <w:r w:rsidR="00B9115F" w:rsidRPr="00C0562C">
        <w:rPr>
          <w:rFonts w:ascii="Arial" w:hAnsi="Arial" w:cs="Arial"/>
          <w:b/>
          <w:color w:val="365F91" w:themeColor="accent1" w:themeShade="BF"/>
        </w:rPr>
        <w:t>n</w:t>
      </w:r>
      <w:r w:rsidR="009E674A" w:rsidRPr="00C0562C">
        <w:rPr>
          <w:rFonts w:ascii="Arial" w:hAnsi="Arial" w:cs="Arial"/>
          <w:b/>
          <w:color w:val="365F91" w:themeColor="accent1" w:themeShade="BF"/>
        </w:rPr>
        <w:t>ces</w:t>
      </w:r>
    </w:p>
    <w:p w14:paraId="427906FC" w14:textId="77777777" w:rsidR="00D70E33" w:rsidRDefault="00D70E33" w:rsidP="00344ECC">
      <w:pPr>
        <w:suppressAutoHyphens w:val="0"/>
        <w:autoSpaceDN/>
        <w:spacing w:after="0" w:line="240" w:lineRule="auto"/>
        <w:jc w:val="both"/>
        <w:textAlignment w:val="auto"/>
        <w:rPr>
          <w:rFonts w:ascii="Arial" w:hAnsi="Arial" w:cs="Arial"/>
          <w:sz w:val="16"/>
          <w:szCs w:val="16"/>
        </w:rPr>
      </w:pPr>
      <w:r w:rsidRPr="00C0562C">
        <w:rPr>
          <w:rFonts w:ascii="Arial" w:hAnsi="Arial" w:cs="Arial"/>
          <w:sz w:val="20"/>
          <w:szCs w:val="20"/>
        </w:rPr>
        <w:t xml:space="preserve">Australian Bureau of Statistics (2016). Note on information provided by the </w:t>
      </w:r>
      <w:r w:rsidR="00B26975" w:rsidRPr="00C0562C">
        <w:rPr>
          <w:rFonts w:ascii="Arial" w:hAnsi="Arial" w:cs="Arial"/>
          <w:sz w:val="20"/>
          <w:szCs w:val="20"/>
        </w:rPr>
        <w:t xml:space="preserve">Australian </w:t>
      </w:r>
      <w:r w:rsidRPr="00C0562C">
        <w:rPr>
          <w:rFonts w:ascii="Arial" w:hAnsi="Arial" w:cs="Arial"/>
          <w:sz w:val="20"/>
          <w:szCs w:val="20"/>
        </w:rPr>
        <w:t>Bureau</w:t>
      </w:r>
      <w:r w:rsidR="003A406A" w:rsidRPr="00C0562C">
        <w:rPr>
          <w:rFonts w:ascii="Arial" w:hAnsi="Arial" w:cs="Arial"/>
          <w:sz w:val="20"/>
          <w:szCs w:val="20"/>
        </w:rPr>
        <w:t xml:space="preserve"> on results of the 2016 Census</w:t>
      </w:r>
      <w:r w:rsidRPr="00C0562C">
        <w:rPr>
          <w:rFonts w:ascii="Arial" w:hAnsi="Arial" w:cs="Arial"/>
          <w:sz w:val="20"/>
          <w:szCs w:val="20"/>
        </w:rPr>
        <w:t xml:space="preserve">. </w:t>
      </w:r>
      <w:r w:rsidRPr="00561C00">
        <w:rPr>
          <w:rFonts w:ascii="Arial" w:hAnsi="Arial" w:cs="Arial"/>
          <w:sz w:val="16"/>
          <w:szCs w:val="16"/>
        </w:rPr>
        <w:t>‘</w:t>
      </w:r>
      <w:r w:rsidR="003A406A" w:rsidRPr="00561C00">
        <w:rPr>
          <w:rFonts w:ascii="Arial" w:hAnsi="Arial" w:cs="Arial"/>
          <w:sz w:val="16"/>
          <w:szCs w:val="16"/>
        </w:rPr>
        <w:t>There was little difference in online response rates between ages 0 – 49 years. The online response rate reduced in older age groups. However, the majority</w:t>
      </w:r>
      <w:r w:rsidR="00921CA2" w:rsidRPr="00561C00">
        <w:rPr>
          <w:rFonts w:ascii="Arial" w:hAnsi="Arial" w:cs="Arial"/>
          <w:sz w:val="16"/>
          <w:szCs w:val="16"/>
        </w:rPr>
        <w:t xml:space="preserve"> </w:t>
      </w:r>
      <w:r w:rsidR="003A406A" w:rsidRPr="00561C00">
        <w:rPr>
          <w:rFonts w:ascii="Arial" w:hAnsi="Arial" w:cs="Arial"/>
          <w:sz w:val="16"/>
          <w:szCs w:val="16"/>
        </w:rPr>
        <w:t>of people aged 60-69 years (52.2%) participated online and more than one in four of those aged 80 years and over (28.3%) were counted in an online form. This age group’s online participation increased by the greatest proportion in 2016 with the online response rate increasing 225%. People born outside Australia were more likely to participate online (68.6% for those in private dwellings) than people born in Australia (61.0%). People who only spoke English at home were the least likely to participate online (59.9%), whereas people who spoke a language other than English and could not speak English at all were the most likely to complete the online form (82.9%)</w:t>
      </w:r>
      <w:r w:rsidR="00344ECC" w:rsidRPr="00561C00">
        <w:rPr>
          <w:rFonts w:ascii="Arial" w:hAnsi="Arial" w:cs="Arial"/>
          <w:sz w:val="16"/>
          <w:szCs w:val="16"/>
        </w:rPr>
        <w:t>’.</w:t>
      </w:r>
      <w:r w:rsidR="004E6B06" w:rsidRPr="004E6B06">
        <w:rPr>
          <w:rFonts w:ascii="Arial" w:hAnsi="Arial" w:cs="Arial"/>
          <w:sz w:val="16"/>
          <w:szCs w:val="16"/>
        </w:rPr>
        <w:t xml:space="preserve"> </w:t>
      </w:r>
      <w:r w:rsidR="004E6B06">
        <w:rPr>
          <w:rFonts w:ascii="Arial" w:hAnsi="Arial" w:cs="Arial"/>
          <w:sz w:val="16"/>
          <w:szCs w:val="16"/>
        </w:rPr>
        <w:t>More information is available at:</w:t>
      </w:r>
    </w:p>
    <w:p w14:paraId="380DC1A5" w14:textId="77777777" w:rsidR="004E6B06" w:rsidRPr="004E6B06" w:rsidRDefault="00642E33" w:rsidP="004E6B06">
      <w:pPr>
        <w:spacing w:after="0" w:line="240" w:lineRule="auto"/>
        <w:rPr>
          <w:rFonts w:ascii="Arial" w:hAnsi="Arial" w:cs="Arial"/>
          <w:sz w:val="16"/>
          <w:szCs w:val="16"/>
        </w:rPr>
      </w:pPr>
      <w:hyperlink r:id="rId15" w:history="1">
        <w:r w:rsidR="004E6B06" w:rsidRPr="004E6B06">
          <w:rPr>
            <w:rStyle w:val="Hyperlink"/>
            <w:rFonts w:ascii="Arial" w:hAnsi="Arial" w:cs="Arial"/>
            <w:sz w:val="16"/>
            <w:szCs w:val="16"/>
          </w:rPr>
          <w:t>https://www.abs.gov.au/websitedbs/d3310114.nsf/home/Independent+Assurance+Panel/$File/CIAP+Report+on+the+quality+of+2016+Census+data.pdf</w:t>
        </w:r>
      </w:hyperlink>
    </w:p>
    <w:p w14:paraId="02CAB774" w14:textId="77777777" w:rsidR="004E6B06" w:rsidRPr="004E6B06" w:rsidRDefault="00642E33" w:rsidP="004E6B06">
      <w:pPr>
        <w:spacing w:after="0" w:line="240" w:lineRule="auto"/>
        <w:jc w:val="both"/>
        <w:rPr>
          <w:rFonts w:ascii="Arial" w:hAnsi="Arial" w:cs="Arial"/>
          <w:sz w:val="16"/>
          <w:szCs w:val="16"/>
        </w:rPr>
      </w:pPr>
      <w:hyperlink r:id="rId16" w:history="1">
        <w:r w:rsidR="004E6B06" w:rsidRPr="004E6B06">
          <w:rPr>
            <w:rStyle w:val="Hyperlink"/>
            <w:rFonts w:ascii="Arial" w:hAnsi="Arial" w:cs="Arial"/>
            <w:sz w:val="16"/>
            <w:szCs w:val="16"/>
          </w:rPr>
          <w:t>http://www.abs.gov.au/websitedbs/D3310114.nsf/Home/2016%20Census%20online%20responses%20infographic</w:t>
        </w:r>
      </w:hyperlink>
    </w:p>
    <w:p w14:paraId="35EC8ED2" w14:textId="77777777" w:rsidR="004E6B06" w:rsidRPr="00561C00" w:rsidRDefault="004E6B06" w:rsidP="00344ECC">
      <w:pPr>
        <w:suppressAutoHyphens w:val="0"/>
        <w:autoSpaceDN/>
        <w:spacing w:after="0" w:line="240" w:lineRule="auto"/>
        <w:jc w:val="both"/>
        <w:textAlignment w:val="auto"/>
        <w:rPr>
          <w:rFonts w:ascii="Arial" w:hAnsi="Arial" w:cs="Arial"/>
          <w:sz w:val="16"/>
          <w:szCs w:val="16"/>
        </w:rPr>
      </w:pPr>
    </w:p>
    <w:p w14:paraId="4F2FD22D" w14:textId="77777777" w:rsidR="00CD2442" w:rsidRPr="00C0562C" w:rsidRDefault="00CD2442" w:rsidP="00CD2442">
      <w:pPr>
        <w:suppressAutoHyphens w:val="0"/>
        <w:autoSpaceDN/>
        <w:spacing w:after="0" w:line="240" w:lineRule="auto"/>
        <w:textAlignment w:val="auto"/>
        <w:rPr>
          <w:rStyle w:val="Hyperlink"/>
          <w:rFonts w:ascii="Arial" w:hAnsi="Arial" w:cs="Arial"/>
          <w:sz w:val="20"/>
          <w:szCs w:val="20"/>
        </w:rPr>
      </w:pPr>
      <w:r w:rsidRPr="00C0562C">
        <w:rPr>
          <w:rFonts w:ascii="Arial" w:hAnsi="Arial" w:cs="Arial"/>
          <w:sz w:val="20"/>
          <w:szCs w:val="20"/>
        </w:rPr>
        <w:t xml:space="preserve">Cabinet Office (2012). Digital Landscape Research. Available at: </w:t>
      </w:r>
      <w:hyperlink r:id="rId17" w:history="1">
        <w:r w:rsidRPr="00C0562C">
          <w:rPr>
            <w:rStyle w:val="Hyperlink"/>
            <w:rFonts w:ascii="Arial" w:hAnsi="Arial" w:cs="Arial"/>
            <w:sz w:val="20"/>
            <w:szCs w:val="20"/>
          </w:rPr>
          <w:t>https://www.gov.uk/government/publications/digital-landscape-research/digital-landscape-research</w:t>
        </w:r>
      </w:hyperlink>
    </w:p>
    <w:p w14:paraId="789EE88D" w14:textId="77777777" w:rsidR="00CD2442" w:rsidRPr="00C0562C" w:rsidRDefault="00CD2442" w:rsidP="00CD2442">
      <w:pPr>
        <w:suppressAutoHyphens w:val="0"/>
        <w:autoSpaceDN/>
        <w:spacing w:after="0" w:line="240" w:lineRule="auto"/>
        <w:textAlignment w:val="auto"/>
        <w:rPr>
          <w:rFonts w:ascii="Arial" w:hAnsi="Arial" w:cs="Arial"/>
          <w:sz w:val="20"/>
          <w:szCs w:val="20"/>
        </w:rPr>
      </w:pPr>
    </w:p>
    <w:p w14:paraId="034C721F" w14:textId="77777777" w:rsidR="00A33693" w:rsidRDefault="00A33693" w:rsidP="00CD2442">
      <w:pPr>
        <w:spacing w:after="0" w:line="240" w:lineRule="auto"/>
        <w:rPr>
          <w:rFonts w:ascii="Arial" w:hAnsi="Arial" w:cs="Arial"/>
          <w:sz w:val="20"/>
          <w:szCs w:val="20"/>
        </w:rPr>
      </w:pPr>
      <w:r>
        <w:rPr>
          <w:rFonts w:ascii="Arial" w:hAnsi="Arial" w:cs="Arial"/>
          <w:sz w:val="20"/>
          <w:szCs w:val="20"/>
        </w:rPr>
        <w:t>Congdon P (2003). Bayesian Statistical modelling. John Wiley &amp; Sons, Ltd, p. 394-410.</w:t>
      </w:r>
    </w:p>
    <w:p w14:paraId="26C2BD58" w14:textId="77777777" w:rsidR="00A33693" w:rsidRDefault="00A33693" w:rsidP="00CD2442">
      <w:pPr>
        <w:spacing w:after="0" w:line="240" w:lineRule="auto"/>
        <w:rPr>
          <w:rFonts w:ascii="Arial" w:hAnsi="Arial" w:cs="Arial"/>
          <w:sz w:val="20"/>
          <w:szCs w:val="20"/>
        </w:rPr>
      </w:pPr>
    </w:p>
    <w:p w14:paraId="17E6A7A6" w14:textId="77777777" w:rsidR="00E718D3" w:rsidRDefault="00A33BB3" w:rsidP="00CD2442">
      <w:pPr>
        <w:spacing w:after="0" w:line="240" w:lineRule="auto"/>
        <w:rPr>
          <w:rFonts w:ascii="Arial" w:hAnsi="Arial" w:cs="Arial"/>
          <w:sz w:val="20"/>
          <w:szCs w:val="20"/>
        </w:rPr>
      </w:pPr>
      <w:r>
        <w:rPr>
          <w:rFonts w:ascii="Arial" w:hAnsi="Arial" w:cs="Arial"/>
          <w:sz w:val="20"/>
          <w:szCs w:val="20"/>
        </w:rPr>
        <w:t>Consumer Data Research Centre (</w:t>
      </w:r>
      <w:r w:rsidR="00E718D3">
        <w:rPr>
          <w:rFonts w:ascii="Arial" w:hAnsi="Arial" w:cs="Arial"/>
          <w:sz w:val="20"/>
          <w:szCs w:val="20"/>
        </w:rPr>
        <w:t>CDRC</w:t>
      </w:r>
      <w:r>
        <w:rPr>
          <w:rFonts w:ascii="Arial" w:hAnsi="Arial" w:cs="Arial"/>
          <w:sz w:val="20"/>
          <w:szCs w:val="20"/>
        </w:rPr>
        <w:t xml:space="preserve">, </w:t>
      </w:r>
      <w:r w:rsidR="00E718D3">
        <w:rPr>
          <w:rFonts w:ascii="Arial" w:hAnsi="Arial" w:cs="Arial"/>
          <w:sz w:val="20"/>
          <w:szCs w:val="20"/>
        </w:rPr>
        <w:t>2014). Internet user classification 2014. Available at:</w:t>
      </w:r>
    </w:p>
    <w:p w14:paraId="06BA4B26" w14:textId="77777777" w:rsidR="00E718D3" w:rsidRDefault="00642E33" w:rsidP="00CD2442">
      <w:pPr>
        <w:spacing w:after="0" w:line="240" w:lineRule="auto"/>
        <w:rPr>
          <w:rFonts w:ascii="Arial" w:hAnsi="Arial" w:cs="Arial"/>
          <w:sz w:val="20"/>
          <w:szCs w:val="20"/>
        </w:rPr>
      </w:pPr>
      <w:hyperlink r:id="rId18" w:anchor="/geodemographics/iuc14/default/BTTTFFT/10/-0.1500/51.5200/" w:history="1">
        <w:r w:rsidR="00E718D3" w:rsidRPr="00340AF9">
          <w:rPr>
            <w:rStyle w:val="Hyperlink"/>
            <w:rFonts w:ascii="Arial" w:hAnsi="Arial" w:cs="Arial"/>
            <w:sz w:val="20"/>
            <w:szCs w:val="20"/>
          </w:rPr>
          <w:t>https://maps.cdrc.ac.uk/#/geodemographics/iuc14/default/BTTTFFT/10/-0.1500/51.5200/</w:t>
        </w:r>
      </w:hyperlink>
    </w:p>
    <w:p w14:paraId="33E19AFE" w14:textId="77777777" w:rsidR="00E718D3" w:rsidRDefault="00E718D3" w:rsidP="00CD2442">
      <w:pPr>
        <w:spacing w:after="0" w:line="240" w:lineRule="auto"/>
        <w:rPr>
          <w:rFonts w:ascii="Arial" w:hAnsi="Arial" w:cs="Arial"/>
          <w:sz w:val="20"/>
          <w:szCs w:val="20"/>
        </w:rPr>
      </w:pPr>
    </w:p>
    <w:p w14:paraId="7103BFDD" w14:textId="77777777" w:rsidR="00090218" w:rsidRPr="00C0562C" w:rsidRDefault="00090218" w:rsidP="00CD2442">
      <w:pPr>
        <w:spacing w:after="0" w:line="240" w:lineRule="auto"/>
        <w:rPr>
          <w:rStyle w:val="Hyperlink"/>
          <w:rFonts w:ascii="Arial" w:hAnsi="Arial" w:cs="Arial"/>
          <w:sz w:val="20"/>
          <w:szCs w:val="20"/>
        </w:rPr>
      </w:pPr>
      <w:r w:rsidRPr="00C0562C">
        <w:rPr>
          <w:rFonts w:ascii="Arial" w:hAnsi="Arial" w:cs="Arial"/>
          <w:sz w:val="20"/>
          <w:szCs w:val="20"/>
        </w:rPr>
        <w:t xml:space="preserve">Corps D, Fraser O and Meirinhos V (ONS, 2017).  Test Analysis – Analysis of online and paper respondents. ONS Internal report. Available at: </w:t>
      </w:r>
      <w:hyperlink r:id="rId19" w:history="1">
        <w:r w:rsidRPr="00C0562C">
          <w:rPr>
            <w:rStyle w:val="Hyperlink"/>
            <w:rFonts w:ascii="Arial" w:hAnsi="Arial" w:cs="Arial"/>
            <w:sz w:val="20"/>
            <w:szCs w:val="20"/>
          </w:rPr>
          <w:t>https://share.sp.ons.statistics.gov.uk/sites/cen/csod/CSOD_Stats_Design/Statistical_Design/2017%20Test/Reports/CRAG_paper_Nov17.docx</w:t>
        </w:r>
      </w:hyperlink>
    </w:p>
    <w:p w14:paraId="37E466F7" w14:textId="77777777" w:rsidR="00207BAF" w:rsidRPr="00C0562C" w:rsidRDefault="00207BAF" w:rsidP="00CD2442">
      <w:pPr>
        <w:spacing w:after="0" w:line="240" w:lineRule="auto"/>
        <w:rPr>
          <w:rStyle w:val="Hyperlink"/>
          <w:rFonts w:ascii="Arial" w:hAnsi="Arial" w:cs="Arial"/>
          <w:sz w:val="20"/>
          <w:szCs w:val="20"/>
        </w:rPr>
      </w:pPr>
    </w:p>
    <w:p w14:paraId="504ED7F0" w14:textId="77777777" w:rsidR="00207BAF" w:rsidRPr="00C0562C" w:rsidRDefault="00207BAF" w:rsidP="00CD2442">
      <w:pPr>
        <w:spacing w:after="0" w:line="240" w:lineRule="auto"/>
        <w:rPr>
          <w:rFonts w:ascii="Arial" w:hAnsi="Arial" w:cs="Arial"/>
          <w:sz w:val="20"/>
          <w:szCs w:val="20"/>
        </w:rPr>
      </w:pPr>
      <w:r w:rsidRPr="00C0562C">
        <w:rPr>
          <w:rFonts w:ascii="Arial" w:hAnsi="Arial" w:cs="Arial"/>
          <w:sz w:val="20"/>
          <w:szCs w:val="20"/>
        </w:rPr>
        <w:t xml:space="preserve">Digital Economy Act (2017). Available at: </w:t>
      </w:r>
    </w:p>
    <w:p w14:paraId="7BBEF397" w14:textId="77777777" w:rsidR="00207BAF" w:rsidRPr="00C0562C" w:rsidRDefault="00642E33" w:rsidP="00CD2442">
      <w:pPr>
        <w:spacing w:after="0" w:line="240" w:lineRule="auto"/>
        <w:rPr>
          <w:rFonts w:ascii="Arial" w:hAnsi="Arial" w:cs="Arial"/>
          <w:sz w:val="20"/>
          <w:szCs w:val="20"/>
        </w:rPr>
      </w:pPr>
      <w:hyperlink r:id="rId20" w:history="1">
        <w:r w:rsidR="00207BAF" w:rsidRPr="00C0562C">
          <w:rPr>
            <w:rStyle w:val="Hyperlink"/>
            <w:rFonts w:ascii="Arial" w:hAnsi="Arial" w:cs="Arial"/>
            <w:sz w:val="20"/>
            <w:szCs w:val="20"/>
          </w:rPr>
          <w:t>https://www.gov.uk/government/collections/digital-economy-bill-2016</w:t>
        </w:r>
      </w:hyperlink>
    </w:p>
    <w:p w14:paraId="6793ED27" w14:textId="77777777" w:rsidR="00090218" w:rsidRPr="00C0562C" w:rsidRDefault="00090218" w:rsidP="00CD2442">
      <w:pPr>
        <w:spacing w:after="0" w:line="240" w:lineRule="auto"/>
        <w:rPr>
          <w:rFonts w:ascii="Arial" w:hAnsi="Arial" w:cs="Arial"/>
          <w:sz w:val="20"/>
          <w:szCs w:val="20"/>
        </w:rPr>
      </w:pPr>
    </w:p>
    <w:p w14:paraId="30FDD067" w14:textId="77777777" w:rsidR="009E674A" w:rsidRPr="00C0562C" w:rsidRDefault="009E674A" w:rsidP="00CD2442">
      <w:pPr>
        <w:spacing w:after="0" w:line="240" w:lineRule="auto"/>
        <w:rPr>
          <w:rFonts w:ascii="Arial" w:hAnsi="Arial" w:cs="Arial"/>
          <w:sz w:val="20"/>
          <w:szCs w:val="20"/>
        </w:rPr>
      </w:pPr>
      <w:r w:rsidRPr="00C0562C">
        <w:rPr>
          <w:rFonts w:ascii="Arial" w:hAnsi="Arial" w:cs="Arial"/>
          <w:sz w:val="20"/>
          <w:szCs w:val="20"/>
        </w:rPr>
        <w:t>Dini E (2018). Hard to Count index for the 2021 Census. ONS Internal report. Available at:</w:t>
      </w:r>
    </w:p>
    <w:p w14:paraId="1430D417" w14:textId="7CC0A122" w:rsidR="009E674A" w:rsidRDefault="00642E33" w:rsidP="00CD2442">
      <w:pPr>
        <w:spacing w:after="0" w:line="240" w:lineRule="auto"/>
        <w:rPr>
          <w:rFonts w:ascii="Arial" w:hAnsi="Arial" w:cs="Arial"/>
          <w:sz w:val="20"/>
          <w:szCs w:val="20"/>
        </w:rPr>
      </w:pPr>
      <w:hyperlink r:id="rId21" w:history="1">
        <w:r w:rsidR="009E674A" w:rsidRPr="00C0562C">
          <w:rPr>
            <w:rStyle w:val="Hyperlink"/>
            <w:rFonts w:ascii="Arial" w:hAnsi="Arial" w:cs="Arial"/>
            <w:sz w:val="20"/>
            <w:szCs w:val="20"/>
          </w:rPr>
          <w:t>https://share.sp.ons.statistics.gov.uk/sites/MTH/Cen/2021/Sample_Design_and_Estimation/Hard_to_Count/HtC_index_report_v5_for_External_Assurance_Panel.docx</w:t>
        </w:r>
      </w:hyperlink>
      <w:r w:rsidR="009E674A" w:rsidRPr="00C0562C">
        <w:rPr>
          <w:rFonts w:ascii="Arial" w:hAnsi="Arial" w:cs="Arial"/>
          <w:sz w:val="20"/>
          <w:szCs w:val="20"/>
        </w:rPr>
        <w:t xml:space="preserve"> </w:t>
      </w:r>
    </w:p>
    <w:p w14:paraId="04F27FD4" w14:textId="661E9FD6" w:rsidR="007300B2" w:rsidRDefault="007300B2" w:rsidP="00CD2442">
      <w:pPr>
        <w:spacing w:after="0" w:line="240" w:lineRule="auto"/>
        <w:rPr>
          <w:rFonts w:ascii="Arial" w:hAnsi="Arial" w:cs="Arial"/>
          <w:sz w:val="20"/>
          <w:szCs w:val="20"/>
        </w:rPr>
      </w:pPr>
    </w:p>
    <w:p w14:paraId="598A47A9" w14:textId="61B281C7" w:rsidR="007300B2" w:rsidRDefault="007300B2" w:rsidP="007300B2">
      <w:pPr>
        <w:spacing w:after="0" w:line="240" w:lineRule="auto"/>
        <w:rPr>
          <w:rFonts w:ascii="Arial" w:hAnsi="Arial" w:cs="Arial"/>
          <w:sz w:val="20"/>
          <w:szCs w:val="20"/>
        </w:rPr>
      </w:pPr>
      <w:r>
        <w:rPr>
          <w:rFonts w:ascii="Arial" w:hAnsi="Arial" w:cs="Arial"/>
          <w:sz w:val="20"/>
          <w:szCs w:val="20"/>
        </w:rPr>
        <w:t>Dini E (2019). Update on methodology for the Digital domain of the Hard to Count index for the 2021 Census. ONS Internal report. Available at:</w:t>
      </w:r>
    </w:p>
    <w:p w14:paraId="18298EFB" w14:textId="5E6DDD48" w:rsidR="007300B2" w:rsidRDefault="00642E33" w:rsidP="007300B2">
      <w:pPr>
        <w:spacing w:after="0" w:line="240" w:lineRule="auto"/>
        <w:rPr>
          <w:rFonts w:ascii="Arial" w:hAnsi="Arial" w:cs="Arial"/>
          <w:sz w:val="20"/>
          <w:szCs w:val="20"/>
        </w:rPr>
      </w:pPr>
      <w:hyperlink r:id="rId22" w:history="1">
        <w:r w:rsidR="007300B2" w:rsidRPr="00490870">
          <w:rPr>
            <w:rStyle w:val="Hyperlink"/>
            <w:rFonts w:ascii="Arial" w:hAnsi="Arial" w:cs="Arial"/>
            <w:sz w:val="20"/>
            <w:szCs w:val="20"/>
          </w:rPr>
          <w:t>https://share.sp.ons.statistics.gov.uk/sites/MTH/Cen/2021/Sample_Design_and_Estimation/Hard_to_Count/Update_on_methodology_for_the_Digital_domain_of_the_Hard_to_Count_index_for_the_2021_Census_May_2019.pdf</w:t>
        </w:r>
      </w:hyperlink>
    </w:p>
    <w:p w14:paraId="30453393" w14:textId="77777777" w:rsidR="00EF2F0B" w:rsidRPr="00C0562C" w:rsidRDefault="00EF2F0B" w:rsidP="00EF2F0B">
      <w:pPr>
        <w:spacing w:after="0"/>
        <w:rPr>
          <w:rFonts w:ascii="Arial" w:hAnsi="Arial" w:cs="Arial"/>
          <w:sz w:val="20"/>
          <w:szCs w:val="20"/>
        </w:rPr>
      </w:pPr>
    </w:p>
    <w:p w14:paraId="69D8513C" w14:textId="77777777" w:rsidR="00582821" w:rsidRPr="00C0562C" w:rsidRDefault="005C1DCA" w:rsidP="00B72979">
      <w:pPr>
        <w:suppressAutoHyphens w:val="0"/>
        <w:autoSpaceDN/>
        <w:spacing w:after="0" w:line="240" w:lineRule="auto"/>
        <w:jc w:val="both"/>
        <w:textAlignment w:val="auto"/>
        <w:rPr>
          <w:rFonts w:ascii="Arial" w:hAnsi="Arial" w:cs="Arial"/>
          <w:sz w:val="20"/>
          <w:szCs w:val="20"/>
        </w:rPr>
      </w:pPr>
      <w:r w:rsidRPr="00C0562C">
        <w:rPr>
          <w:rFonts w:ascii="Arial" w:hAnsi="Arial" w:cs="Arial"/>
          <w:sz w:val="20"/>
          <w:szCs w:val="20"/>
        </w:rPr>
        <w:t xml:space="preserve">Ofcom (2015). Ofcom’s Media literacy research. Available at </w:t>
      </w:r>
      <w:hyperlink r:id="rId23" w:history="1">
        <w:r w:rsidR="00582821" w:rsidRPr="00C0562C">
          <w:rPr>
            <w:rStyle w:val="Hyperlink"/>
            <w:rFonts w:ascii="Arial" w:hAnsi="Arial" w:cs="Arial"/>
            <w:sz w:val="20"/>
            <w:szCs w:val="20"/>
          </w:rPr>
          <w:t>https://www.ofcom.org.uk/research-and-data/media-literacy-research/adults/adults-media-use-and-attitudes</w:t>
        </w:r>
      </w:hyperlink>
    </w:p>
    <w:p w14:paraId="2AB16BE6" w14:textId="77777777" w:rsidR="00582821" w:rsidRPr="00C0562C" w:rsidRDefault="00582821" w:rsidP="00B72979">
      <w:pPr>
        <w:suppressAutoHyphens w:val="0"/>
        <w:autoSpaceDN/>
        <w:spacing w:after="0" w:line="240" w:lineRule="auto"/>
        <w:jc w:val="both"/>
        <w:textAlignment w:val="auto"/>
        <w:rPr>
          <w:rFonts w:ascii="Arial" w:hAnsi="Arial" w:cs="Arial"/>
          <w:sz w:val="20"/>
          <w:szCs w:val="20"/>
        </w:rPr>
      </w:pPr>
    </w:p>
    <w:p w14:paraId="73852F1E" w14:textId="77777777" w:rsidR="00B72979" w:rsidRPr="00C0562C" w:rsidRDefault="00B72979" w:rsidP="00B72979">
      <w:pPr>
        <w:suppressAutoHyphens w:val="0"/>
        <w:autoSpaceDN/>
        <w:spacing w:after="0" w:line="240" w:lineRule="auto"/>
        <w:jc w:val="both"/>
        <w:textAlignment w:val="auto"/>
        <w:rPr>
          <w:rFonts w:ascii="Arial" w:hAnsi="Arial" w:cs="Arial"/>
          <w:sz w:val="20"/>
          <w:szCs w:val="20"/>
        </w:rPr>
      </w:pPr>
      <w:r w:rsidRPr="00C0562C">
        <w:rPr>
          <w:rFonts w:ascii="Arial" w:hAnsi="Arial" w:cs="Arial"/>
          <w:sz w:val="20"/>
          <w:szCs w:val="20"/>
        </w:rPr>
        <w:t xml:space="preserve">Office for National Statistics (2014). Statistical bulletin: Internet Access Quarterly Update, Q1 2015. Available at: </w:t>
      </w:r>
      <w:hyperlink r:id="rId24" w:history="1">
        <w:r w:rsidRPr="00C0562C">
          <w:rPr>
            <w:rStyle w:val="Hyperlink"/>
            <w:rFonts w:ascii="Arial" w:hAnsi="Arial" w:cs="Arial"/>
            <w:sz w:val="20"/>
            <w:szCs w:val="20"/>
          </w:rPr>
          <w:t>https://www.ons.gov.uk/peoplepopulationandcommunity/householdcharacteristics/homeinternetandsocialmediausage/bulletins/internetaccessquarterlyupdate/2014-08-20</w:t>
        </w:r>
      </w:hyperlink>
    </w:p>
    <w:p w14:paraId="576D8690" w14:textId="77777777" w:rsidR="00CD2442" w:rsidRDefault="00CD2442" w:rsidP="00CD2442">
      <w:pPr>
        <w:suppressAutoHyphens w:val="0"/>
        <w:autoSpaceDN/>
        <w:spacing w:after="0" w:line="240" w:lineRule="auto"/>
        <w:textAlignment w:val="auto"/>
        <w:rPr>
          <w:rStyle w:val="Hyperlink"/>
          <w:rFonts w:ascii="Arial" w:hAnsi="Arial" w:cs="Arial"/>
          <w:sz w:val="20"/>
          <w:szCs w:val="20"/>
        </w:rPr>
      </w:pPr>
      <w:r w:rsidRPr="00C0562C">
        <w:rPr>
          <w:rFonts w:ascii="Arial" w:hAnsi="Arial" w:cs="Arial"/>
          <w:sz w:val="20"/>
          <w:szCs w:val="20"/>
        </w:rPr>
        <w:t>Office for National Statistics (2018). Statistical Bulletin: Internet Access – Households and Individuals 201</w:t>
      </w:r>
      <w:r w:rsidR="00C218E7" w:rsidRPr="00C0562C">
        <w:rPr>
          <w:rFonts w:ascii="Arial" w:hAnsi="Arial" w:cs="Arial"/>
          <w:sz w:val="20"/>
          <w:szCs w:val="20"/>
        </w:rPr>
        <w:t>8</w:t>
      </w:r>
      <w:r w:rsidRPr="00C0562C">
        <w:rPr>
          <w:rFonts w:ascii="Arial" w:hAnsi="Arial" w:cs="Arial"/>
          <w:sz w:val="20"/>
          <w:szCs w:val="20"/>
        </w:rPr>
        <w:t xml:space="preserve">. Available at: </w:t>
      </w:r>
      <w:hyperlink r:id="rId25" w:history="1">
        <w:r w:rsidRPr="00C0562C">
          <w:rPr>
            <w:rStyle w:val="Hyperlink"/>
            <w:rFonts w:ascii="Arial" w:hAnsi="Arial" w:cs="Arial"/>
            <w:sz w:val="20"/>
            <w:szCs w:val="20"/>
          </w:rPr>
          <w:t>https://www.ons.gov.uk/peoplepopulationandcommunity/householdcharacteristics/homeinternetandsocialmediausage/bulletins/internetaccesshouseholdsandindividuals/2018</w:t>
        </w:r>
      </w:hyperlink>
    </w:p>
    <w:p w14:paraId="1FD0151C" w14:textId="77777777" w:rsidR="00697B35" w:rsidRDefault="00697B35" w:rsidP="00CD2442">
      <w:pPr>
        <w:suppressAutoHyphens w:val="0"/>
        <w:autoSpaceDN/>
        <w:spacing w:after="0" w:line="240" w:lineRule="auto"/>
        <w:textAlignment w:val="auto"/>
        <w:rPr>
          <w:rStyle w:val="Hyperlink"/>
          <w:rFonts w:ascii="Arial" w:hAnsi="Arial" w:cs="Arial"/>
          <w:sz w:val="20"/>
          <w:szCs w:val="20"/>
        </w:rPr>
      </w:pPr>
    </w:p>
    <w:p w14:paraId="0CC6A200" w14:textId="77777777" w:rsidR="00697B35" w:rsidRDefault="00697B35" w:rsidP="00CD2442">
      <w:pPr>
        <w:suppressAutoHyphens w:val="0"/>
        <w:autoSpaceDN/>
        <w:spacing w:after="0" w:line="240" w:lineRule="auto"/>
        <w:textAlignment w:val="auto"/>
        <w:rPr>
          <w:rStyle w:val="Hyperlink"/>
          <w:rFonts w:ascii="Arial" w:hAnsi="Arial" w:cs="Arial"/>
          <w:color w:val="auto"/>
          <w:sz w:val="20"/>
          <w:szCs w:val="20"/>
          <w:u w:val="none"/>
        </w:rPr>
      </w:pPr>
      <w:r w:rsidRPr="00697B35">
        <w:rPr>
          <w:rStyle w:val="Hyperlink"/>
          <w:rFonts w:ascii="Arial" w:hAnsi="Arial" w:cs="Arial"/>
          <w:color w:val="auto"/>
          <w:sz w:val="20"/>
          <w:szCs w:val="20"/>
          <w:u w:val="none"/>
        </w:rPr>
        <w:t>Office</w:t>
      </w:r>
      <w:r>
        <w:rPr>
          <w:rStyle w:val="Hyperlink"/>
          <w:rFonts w:ascii="Arial" w:hAnsi="Arial" w:cs="Arial"/>
          <w:color w:val="auto"/>
          <w:sz w:val="20"/>
          <w:szCs w:val="20"/>
          <w:u w:val="none"/>
        </w:rPr>
        <w:t xml:space="preserve"> for National Statistics (2019). </w:t>
      </w:r>
      <w:r w:rsidR="00DB42AE">
        <w:rPr>
          <w:rStyle w:val="Hyperlink"/>
          <w:rFonts w:ascii="Arial" w:hAnsi="Arial" w:cs="Arial"/>
          <w:color w:val="auto"/>
          <w:sz w:val="20"/>
          <w:szCs w:val="20"/>
          <w:u w:val="none"/>
        </w:rPr>
        <w:t xml:space="preserve">Administrative data census project. </w:t>
      </w:r>
      <w:r>
        <w:rPr>
          <w:rStyle w:val="Hyperlink"/>
          <w:rFonts w:ascii="Arial" w:hAnsi="Arial" w:cs="Arial"/>
          <w:color w:val="auto"/>
          <w:sz w:val="20"/>
          <w:szCs w:val="20"/>
          <w:u w:val="none"/>
        </w:rPr>
        <w:t>Available at:</w:t>
      </w:r>
    </w:p>
    <w:p w14:paraId="3B4190C6" w14:textId="77777777" w:rsidR="00697B35" w:rsidRDefault="00642E33" w:rsidP="00CD2442">
      <w:pPr>
        <w:suppressAutoHyphens w:val="0"/>
        <w:autoSpaceDN/>
        <w:spacing w:after="0" w:line="240" w:lineRule="auto"/>
        <w:textAlignment w:val="auto"/>
        <w:rPr>
          <w:rFonts w:ascii="Arial" w:hAnsi="Arial" w:cs="Arial"/>
          <w:sz w:val="20"/>
          <w:szCs w:val="20"/>
        </w:rPr>
      </w:pPr>
      <w:hyperlink r:id="rId26" w:history="1">
        <w:r w:rsidR="00DB42AE" w:rsidRPr="005F5074">
          <w:rPr>
            <w:rStyle w:val="Hyperlink"/>
            <w:rFonts w:ascii="Arial" w:hAnsi="Arial" w:cs="Arial"/>
            <w:sz w:val="20"/>
            <w:szCs w:val="20"/>
          </w:rPr>
          <w:t>https://www.ons.gov.uk/census/censustransformationprogramme/administrativedatacensusproject</w:t>
        </w:r>
      </w:hyperlink>
    </w:p>
    <w:p w14:paraId="5D5BCD4D" w14:textId="77777777" w:rsidR="00DB42AE" w:rsidRPr="00697B35" w:rsidRDefault="00DB42AE" w:rsidP="00CD2442">
      <w:pPr>
        <w:suppressAutoHyphens w:val="0"/>
        <w:autoSpaceDN/>
        <w:spacing w:after="0" w:line="240" w:lineRule="auto"/>
        <w:textAlignment w:val="auto"/>
        <w:rPr>
          <w:rFonts w:ascii="Arial" w:hAnsi="Arial" w:cs="Arial"/>
          <w:sz w:val="20"/>
          <w:szCs w:val="20"/>
        </w:rPr>
      </w:pPr>
    </w:p>
    <w:p w14:paraId="25DFE6DB" w14:textId="77777777" w:rsidR="000E426C" w:rsidRPr="00C0562C" w:rsidRDefault="00EF2F0B" w:rsidP="00CD2442">
      <w:pPr>
        <w:spacing w:after="0"/>
        <w:rPr>
          <w:rStyle w:val="Hyperlink"/>
          <w:rFonts w:ascii="Arial" w:hAnsi="Arial" w:cs="Arial"/>
          <w:sz w:val="20"/>
          <w:szCs w:val="20"/>
        </w:rPr>
      </w:pPr>
      <w:r w:rsidRPr="00C0562C">
        <w:rPr>
          <w:rFonts w:ascii="Arial" w:hAnsi="Arial" w:cs="Arial"/>
          <w:sz w:val="20"/>
          <w:szCs w:val="20"/>
        </w:rPr>
        <w:t xml:space="preserve">Wilson L (2018). Survey Methodology Bulletin. v 78, p. 45-52. </w:t>
      </w:r>
      <w:hyperlink r:id="rId27" w:history="1">
        <w:r w:rsidR="00CD2442" w:rsidRPr="00C0562C">
          <w:rPr>
            <w:rStyle w:val="Hyperlink"/>
            <w:rFonts w:ascii="Arial" w:hAnsi="Arial" w:cs="Arial"/>
            <w:sz w:val="20"/>
            <w:szCs w:val="20"/>
          </w:rPr>
          <w:t>https://www.ons.gov.uk/methodology/methodologicalpublications/generalmethodology/surveymethodologybulletin</w:t>
        </w:r>
      </w:hyperlink>
    </w:p>
    <w:p w14:paraId="19A817E8" w14:textId="77777777" w:rsidR="005103BC" w:rsidRPr="00C0562C" w:rsidRDefault="005103BC" w:rsidP="00CD2442">
      <w:pPr>
        <w:spacing w:after="0"/>
        <w:rPr>
          <w:rFonts w:ascii="Arial" w:hAnsi="Arial" w:cs="Arial"/>
          <w:sz w:val="20"/>
          <w:szCs w:val="20"/>
        </w:rPr>
      </w:pPr>
      <w:r w:rsidRPr="00C0562C">
        <w:rPr>
          <w:rStyle w:val="Hyperlink"/>
          <w:rFonts w:ascii="Arial" w:hAnsi="Arial" w:cs="Arial"/>
          <w:color w:val="auto"/>
          <w:sz w:val="20"/>
          <w:szCs w:val="20"/>
          <w:u w:val="none"/>
        </w:rPr>
        <w:lastRenderedPageBreak/>
        <w:t xml:space="preserve">A summary is available at: </w:t>
      </w:r>
      <w:hyperlink r:id="rId28" w:history="1">
        <w:r w:rsidRPr="00C0562C">
          <w:rPr>
            <w:rStyle w:val="Hyperlink"/>
            <w:rFonts w:ascii="Arial" w:hAnsi="Arial" w:cs="Arial"/>
            <w:sz w:val="20"/>
            <w:szCs w:val="20"/>
          </w:rPr>
          <w:t>https://blog.ons.gov.uk/2019/01/10/designing-future-surveys/</w:t>
        </w:r>
      </w:hyperlink>
    </w:p>
    <w:p w14:paraId="60A9E989" w14:textId="77777777" w:rsidR="00CD2442" w:rsidRPr="00C0562C" w:rsidRDefault="00CD2442" w:rsidP="00CD2442">
      <w:pPr>
        <w:spacing w:after="0"/>
        <w:rPr>
          <w:rFonts w:ascii="Arial" w:hAnsi="Arial" w:cs="Arial"/>
          <w:sz w:val="20"/>
          <w:szCs w:val="20"/>
        </w:rPr>
      </w:pPr>
    </w:p>
    <w:p w14:paraId="717106D5" w14:textId="77777777" w:rsidR="00B72979" w:rsidRPr="00C0562C" w:rsidRDefault="00B72979" w:rsidP="00B72979">
      <w:pPr>
        <w:suppressAutoHyphens w:val="0"/>
        <w:autoSpaceDN/>
        <w:spacing w:after="0" w:line="240" w:lineRule="auto"/>
        <w:jc w:val="both"/>
        <w:textAlignment w:val="auto"/>
        <w:rPr>
          <w:rFonts w:ascii="Arial" w:hAnsi="Arial" w:cs="Arial"/>
          <w:sz w:val="20"/>
          <w:szCs w:val="20"/>
        </w:rPr>
      </w:pPr>
      <w:r w:rsidRPr="00C0562C">
        <w:rPr>
          <w:rFonts w:ascii="Arial" w:hAnsi="Arial" w:cs="Arial"/>
          <w:sz w:val="20"/>
          <w:szCs w:val="20"/>
        </w:rPr>
        <w:t xml:space="preserve">Oxford Internet Institute. University of Oxford (2013). The Oxford Internet Surveys. Available at: </w:t>
      </w:r>
      <w:hyperlink r:id="rId29" w:history="1">
        <w:r w:rsidRPr="00C0562C">
          <w:rPr>
            <w:rStyle w:val="Hyperlink"/>
            <w:rFonts w:ascii="Arial" w:hAnsi="Arial" w:cs="Arial"/>
            <w:sz w:val="20"/>
            <w:szCs w:val="20"/>
          </w:rPr>
          <w:t>http://oxis.oii.ox.ac.uk/</w:t>
        </w:r>
      </w:hyperlink>
    </w:p>
    <w:p w14:paraId="181FFFF5" w14:textId="77777777" w:rsidR="00C218E7" w:rsidRPr="00C0562C" w:rsidRDefault="00C218E7" w:rsidP="00C218E7">
      <w:pPr>
        <w:suppressAutoHyphens w:val="0"/>
        <w:autoSpaceDN/>
        <w:spacing w:after="0" w:line="240" w:lineRule="auto"/>
        <w:jc w:val="both"/>
        <w:textAlignment w:val="auto"/>
        <w:rPr>
          <w:rFonts w:ascii="Arial" w:hAnsi="Arial" w:cs="Arial"/>
          <w:sz w:val="20"/>
          <w:szCs w:val="20"/>
        </w:rPr>
      </w:pPr>
    </w:p>
    <w:p w14:paraId="1EAB271C" w14:textId="77777777" w:rsidR="003F2F08" w:rsidRPr="00C0562C" w:rsidRDefault="0030491A" w:rsidP="00C218E7">
      <w:pPr>
        <w:suppressAutoHyphens w:val="0"/>
        <w:autoSpaceDN/>
        <w:spacing w:after="0" w:line="240" w:lineRule="auto"/>
        <w:jc w:val="both"/>
        <w:textAlignment w:val="auto"/>
        <w:rPr>
          <w:rFonts w:ascii="Arial" w:hAnsi="Arial" w:cs="Arial"/>
          <w:sz w:val="20"/>
          <w:szCs w:val="20"/>
        </w:rPr>
      </w:pPr>
      <w:r w:rsidRPr="00C0562C">
        <w:rPr>
          <w:rFonts w:ascii="Arial" w:hAnsi="Arial" w:cs="Arial"/>
          <w:sz w:val="20"/>
          <w:szCs w:val="20"/>
        </w:rPr>
        <w:t>Statistics Canada (2016). 2016 Census of Population collection response rates. Results by region.</w:t>
      </w:r>
      <w:r w:rsidR="003F2F08" w:rsidRPr="00C0562C">
        <w:rPr>
          <w:rFonts w:ascii="Arial" w:hAnsi="Arial" w:cs="Arial"/>
          <w:sz w:val="20"/>
          <w:szCs w:val="20"/>
        </w:rPr>
        <w:t xml:space="preserve"> Information available at: </w:t>
      </w:r>
    </w:p>
    <w:p w14:paraId="27080D21" w14:textId="77777777" w:rsidR="00F142AD" w:rsidRPr="00C0562C" w:rsidRDefault="00642E33" w:rsidP="00C218E7">
      <w:pPr>
        <w:suppressAutoHyphens w:val="0"/>
        <w:autoSpaceDN/>
        <w:spacing w:after="0" w:line="240" w:lineRule="auto"/>
        <w:jc w:val="both"/>
        <w:textAlignment w:val="auto"/>
        <w:rPr>
          <w:rFonts w:ascii="Arial" w:hAnsi="Arial" w:cs="Arial"/>
          <w:sz w:val="20"/>
          <w:szCs w:val="20"/>
        </w:rPr>
      </w:pPr>
      <w:hyperlink r:id="rId30" w:history="1">
        <w:r w:rsidR="0030491A" w:rsidRPr="00C0562C">
          <w:rPr>
            <w:rStyle w:val="Hyperlink"/>
            <w:rFonts w:ascii="Arial" w:hAnsi="Arial" w:cs="Arial"/>
            <w:sz w:val="20"/>
            <w:szCs w:val="20"/>
          </w:rPr>
          <w:t>https://www12.statcan.gc.ca/census-recensement/2016/ref/response-rates-eng.cfm</w:t>
        </w:r>
      </w:hyperlink>
    </w:p>
    <w:p w14:paraId="7AEC680D" w14:textId="77777777" w:rsidR="0030491A" w:rsidRPr="00C0562C" w:rsidRDefault="0030491A" w:rsidP="00C218E7">
      <w:pPr>
        <w:suppressAutoHyphens w:val="0"/>
        <w:autoSpaceDN/>
        <w:spacing w:after="0" w:line="240" w:lineRule="auto"/>
        <w:jc w:val="both"/>
        <w:textAlignment w:val="auto"/>
        <w:rPr>
          <w:rFonts w:ascii="Arial" w:hAnsi="Arial" w:cs="Arial"/>
          <w:sz w:val="20"/>
          <w:szCs w:val="20"/>
        </w:rPr>
      </w:pPr>
    </w:p>
    <w:p w14:paraId="5A60BC59" w14:textId="77777777" w:rsidR="00573FFF" w:rsidRPr="00C0562C" w:rsidRDefault="0030491A" w:rsidP="00573FFF">
      <w:pPr>
        <w:suppressAutoHyphens w:val="0"/>
        <w:autoSpaceDN/>
        <w:spacing w:after="0" w:line="240" w:lineRule="auto"/>
        <w:textAlignment w:val="auto"/>
        <w:rPr>
          <w:rFonts w:ascii="Arial" w:hAnsi="Arial" w:cs="Arial"/>
          <w:sz w:val="20"/>
          <w:szCs w:val="20"/>
        </w:rPr>
      </w:pPr>
      <w:r w:rsidRPr="00C0562C">
        <w:rPr>
          <w:rFonts w:ascii="Arial" w:hAnsi="Arial" w:cs="Arial"/>
          <w:sz w:val="20"/>
          <w:szCs w:val="20"/>
        </w:rPr>
        <w:t>U S Bureau of Statistics (2018).</w:t>
      </w:r>
      <w:r w:rsidR="00573FFF" w:rsidRPr="00C0562C">
        <w:rPr>
          <w:rFonts w:ascii="Arial" w:hAnsi="Arial" w:cs="Arial"/>
          <w:sz w:val="20"/>
          <w:szCs w:val="20"/>
        </w:rPr>
        <w:t xml:space="preserve"> Mapping Hard to Count (HTC) Communities for a Fair and Accurate 2020 Census. Information available at: </w:t>
      </w:r>
      <w:hyperlink r:id="rId31" w:history="1">
        <w:r w:rsidR="00573FFF" w:rsidRPr="00C0562C">
          <w:rPr>
            <w:rStyle w:val="Hyperlink"/>
            <w:rFonts w:ascii="Arial" w:hAnsi="Arial" w:cs="Arial"/>
            <w:sz w:val="20"/>
            <w:szCs w:val="20"/>
          </w:rPr>
          <w:t>https://www.censushardtocountmaps2020.us/</w:t>
        </w:r>
      </w:hyperlink>
      <w:r w:rsidR="00573FFF" w:rsidRPr="00C0562C">
        <w:rPr>
          <w:rFonts w:ascii="Arial" w:hAnsi="Arial" w:cs="Arial"/>
          <w:sz w:val="20"/>
          <w:szCs w:val="20"/>
        </w:rPr>
        <w:t xml:space="preserve">  </w:t>
      </w:r>
    </w:p>
    <w:p w14:paraId="4C268576" w14:textId="77777777" w:rsidR="00573FFF" w:rsidRPr="00C0562C" w:rsidRDefault="00642E33" w:rsidP="00573FFF">
      <w:pPr>
        <w:spacing w:after="0"/>
        <w:jc w:val="both"/>
        <w:rPr>
          <w:rStyle w:val="Hyperlink"/>
          <w:rFonts w:ascii="Arial" w:hAnsi="Arial" w:cs="Arial"/>
          <w:sz w:val="20"/>
          <w:szCs w:val="20"/>
        </w:rPr>
      </w:pPr>
      <w:hyperlink r:id="rId32" w:history="1">
        <w:r w:rsidR="00573FFF" w:rsidRPr="00C0562C">
          <w:rPr>
            <w:rStyle w:val="Hyperlink"/>
            <w:rFonts w:ascii="Arial" w:hAnsi="Arial" w:cs="Arial"/>
            <w:sz w:val="20"/>
            <w:szCs w:val="20"/>
          </w:rPr>
          <w:t>https://datadrivendetroit.org/blog/2018/02/13/measuring-hard-to-count-populations/</w:t>
        </w:r>
      </w:hyperlink>
    </w:p>
    <w:p w14:paraId="7CDAE59E" w14:textId="77777777" w:rsidR="00FD18FB" w:rsidRDefault="00FD18FB" w:rsidP="00573FFF">
      <w:pPr>
        <w:spacing w:after="0"/>
        <w:jc w:val="both"/>
        <w:rPr>
          <w:rFonts w:ascii="Arial" w:hAnsi="Arial" w:cs="Arial"/>
          <w:sz w:val="20"/>
          <w:szCs w:val="20"/>
        </w:rPr>
      </w:pPr>
    </w:p>
    <w:p w14:paraId="4295329A" w14:textId="77777777" w:rsidR="00C14976" w:rsidRDefault="00C14976">
      <w:pPr>
        <w:suppressAutoHyphens w:val="0"/>
        <w:autoSpaceDN/>
        <w:textAlignment w:val="auto"/>
        <w:rPr>
          <w:rFonts w:ascii="Arial" w:hAnsi="Arial" w:cs="Arial"/>
          <w:b/>
          <w:color w:val="365F91" w:themeColor="accent1" w:themeShade="BF"/>
          <w:sz w:val="20"/>
          <w:szCs w:val="20"/>
        </w:rPr>
      </w:pPr>
      <w:r>
        <w:rPr>
          <w:rFonts w:ascii="Arial" w:hAnsi="Arial" w:cs="Arial"/>
          <w:b/>
          <w:color w:val="365F91" w:themeColor="accent1" w:themeShade="BF"/>
        </w:rPr>
        <w:br w:type="page"/>
      </w:r>
    </w:p>
    <w:p w14:paraId="74A7D1DC" w14:textId="5E5D766E" w:rsidR="00F142AD" w:rsidRPr="00C0562C" w:rsidRDefault="00F142AD" w:rsidP="0064486A">
      <w:pPr>
        <w:pStyle w:val="CommentText"/>
        <w:jc w:val="both"/>
        <w:rPr>
          <w:rFonts w:ascii="Arial" w:hAnsi="Arial" w:cs="Arial"/>
          <w:b/>
          <w:color w:val="365F91" w:themeColor="accent1" w:themeShade="BF"/>
        </w:rPr>
      </w:pPr>
      <w:r w:rsidRPr="00C0562C">
        <w:rPr>
          <w:rFonts w:ascii="Arial" w:hAnsi="Arial" w:cs="Arial"/>
          <w:b/>
          <w:color w:val="365F91" w:themeColor="accent1" w:themeShade="BF"/>
        </w:rPr>
        <w:lastRenderedPageBreak/>
        <w:t xml:space="preserve">Annex A </w:t>
      </w:r>
    </w:p>
    <w:p w14:paraId="652AE1AD" w14:textId="4CC1636F" w:rsidR="004C3DC3" w:rsidRPr="00C0562C" w:rsidRDefault="004C3DC3" w:rsidP="00CC36A9">
      <w:pPr>
        <w:spacing w:after="0" w:line="240" w:lineRule="auto"/>
        <w:jc w:val="both"/>
        <w:rPr>
          <w:rFonts w:ascii="Arial" w:hAnsi="Arial" w:cs="Arial"/>
          <w:sz w:val="20"/>
          <w:szCs w:val="20"/>
        </w:rPr>
      </w:pPr>
      <w:r w:rsidRPr="00C0562C">
        <w:rPr>
          <w:rFonts w:ascii="Arial" w:hAnsi="Arial" w:cs="Arial"/>
          <w:sz w:val="20"/>
          <w:szCs w:val="20"/>
        </w:rPr>
        <w:t>Table A1 presents the parameters given by the Willingness model as it was presented initially to the members of the EAP</w:t>
      </w:r>
      <w:r w:rsidR="000D1272" w:rsidRPr="00C0562C">
        <w:rPr>
          <w:rFonts w:ascii="Arial" w:hAnsi="Arial" w:cs="Arial"/>
          <w:sz w:val="20"/>
          <w:szCs w:val="20"/>
        </w:rPr>
        <w:t xml:space="preserve"> (i.e. the model does not include DVLA data on online transactions as a covariate)</w:t>
      </w:r>
      <w:r w:rsidRPr="00C0562C">
        <w:rPr>
          <w:rFonts w:ascii="Arial" w:hAnsi="Arial" w:cs="Arial"/>
          <w:sz w:val="20"/>
          <w:szCs w:val="20"/>
        </w:rPr>
        <w:t xml:space="preserve">. Table A2 presents the parameters given by the Willingness model </w:t>
      </w:r>
      <w:r w:rsidR="00F01CB0">
        <w:rPr>
          <w:rFonts w:ascii="Arial" w:hAnsi="Arial" w:cs="Arial"/>
          <w:sz w:val="20"/>
          <w:szCs w:val="20"/>
        </w:rPr>
        <w:t xml:space="preserve">including </w:t>
      </w:r>
      <w:r w:rsidRPr="00C0562C">
        <w:rPr>
          <w:rFonts w:ascii="Arial" w:hAnsi="Arial" w:cs="Arial"/>
          <w:sz w:val="20"/>
          <w:szCs w:val="20"/>
        </w:rPr>
        <w:t>the DVLA data as a covariate to the model.</w:t>
      </w:r>
    </w:p>
    <w:p w14:paraId="39209452" w14:textId="77777777" w:rsidR="000D1272" w:rsidRPr="00C0562C" w:rsidRDefault="000D1272" w:rsidP="00CC36A9">
      <w:pPr>
        <w:spacing w:after="0" w:line="240" w:lineRule="auto"/>
        <w:jc w:val="both"/>
        <w:rPr>
          <w:rFonts w:ascii="Arial" w:hAnsi="Arial" w:cs="Arial"/>
          <w:sz w:val="20"/>
          <w:szCs w:val="20"/>
        </w:rPr>
      </w:pPr>
    </w:p>
    <w:p w14:paraId="31E6EBE6" w14:textId="77777777" w:rsidR="00F142AD" w:rsidRPr="00C0562C" w:rsidRDefault="000D1272"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noProof/>
          <w:sz w:val="20"/>
          <w:szCs w:val="20"/>
        </w:rPr>
        <w:drawing>
          <wp:inline distT="0" distB="0" distL="0" distR="0" wp14:anchorId="36977FA7" wp14:editId="6D08FEDC">
            <wp:extent cx="5943600" cy="521248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5212486"/>
                    </a:xfrm>
                    <a:prstGeom prst="rect">
                      <a:avLst/>
                    </a:prstGeom>
                    <a:noFill/>
                    <a:ln>
                      <a:noFill/>
                    </a:ln>
                  </pic:spPr>
                </pic:pic>
              </a:graphicData>
            </a:graphic>
          </wp:inline>
        </w:drawing>
      </w:r>
    </w:p>
    <w:p w14:paraId="02F4B5CB" w14:textId="77777777" w:rsidR="00C0562C" w:rsidRDefault="00C0562C" w:rsidP="00CC36A9">
      <w:pPr>
        <w:suppressAutoHyphens w:val="0"/>
        <w:autoSpaceDN/>
        <w:spacing w:after="0" w:line="240" w:lineRule="auto"/>
        <w:jc w:val="both"/>
        <w:textAlignment w:val="auto"/>
        <w:rPr>
          <w:rFonts w:ascii="Arial" w:hAnsi="Arial" w:cs="Arial"/>
          <w:sz w:val="20"/>
          <w:szCs w:val="20"/>
        </w:rPr>
      </w:pPr>
    </w:p>
    <w:p w14:paraId="00EEDB0E" w14:textId="77777777" w:rsidR="00A504E5" w:rsidRPr="00C0562C" w:rsidRDefault="000D1272"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sz w:val="20"/>
          <w:szCs w:val="20"/>
        </w:rPr>
        <w:t xml:space="preserve">The parameters </w:t>
      </w:r>
      <w:r w:rsidR="00310FE3" w:rsidRPr="00C0562C">
        <w:rPr>
          <w:rFonts w:ascii="Arial" w:hAnsi="Arial" w:cs="Arial"/>
          <w:sz w:val="20"/>
          <w:szCs w:val="20"/>
        </w:rPr>
        <w:t>of the model that include</w:t>
      </w:r>
      <w:r w:rsidR="00921CA2">
        <w:rPr>
          <w:rFonts w:ascii="Arial" w:hAnsi="Arial" w:cs="Arial"/>
          <w:sz w:val="20"/>
          <w:szCs w:val="20"/>
        </w:rPr>
        <w:t>s</w:t>
      </w:r>
      <w:r w:rsidR="00310FE3" w:rsidRPr="00C0562C">
        <w:rPr>
          <w:rFonts w:ascii="Arial" w:hAnsi="Arial" w:cs="Arial"/>
          <w:sz w:val="20"/>
          <w:szCs w:val="20"/>
        </w:rPr>
        <w:t xml:space="preserve"> DVLA data on online transactions as a covariate (Table A2) do not </w:t>
      </w:r>
      <w:r w:rsidR="00121728" w:rsidRPr="00C0562C">
        <w:rPr>
          <w:rFonts w:ascii="Arial" w:hAnsi="Arial" w:cs="Arial"/>
          <w:sz w:val="20"/>
          <w:szCs w:val="20"/>
        </w:rPr>
        <w:t>s</w:t>
      </w:r>
      <w:r w:rsidRPr="00C0562C">
        <w:rPr>
          <w:rFonts w:ascii="Arial" w:hAnsi="Arial" w:cs="Arial"/>
          <w:sz w:val="20"/>
          <w:szCs w:val="20"/>
        </w:rPr>
        <w:t xml:space="preserve">how </w:t>
      </w:r>
      <w:r w:rsidR="00921CA2">
        <w:rPr>
          <w:rFonts w:ascii="Arial" w:hAnsi="Arial" w:cs="Arial"/>
          <w:sz w:val="20"/>
          <w:szCs w:val="20"/>
        </w:rPr>
        <w:t xml:space="preserve">large differences </w:t>
      </w:r>
      <w:r w:rsidR="00121728" w:rsidRPr="00C0562C">
        <w:rPr>
          <w:rFonts w:ascii="Arial" w:hAnsi="Arial" w:cs="Arial"/>
          <w:sz w:val="20"/>
          <w:szCs w:val="20"/>
        </w:rPr>
        <w:t xml:space="preserve">when </w:t>
      </w:r>
      <w:r w:rsidR="00310FE3" w:rsidRPr="00C0562C">
        <w:rPr>
          <w:rFonts w:ascii="Arial" w:hAnsi="Arial" w:cs="Arial"/>
          <w:sz w:val="20"/>
          <w:szCs w:val="20"/>
        </w:rPr>
        <w:t xml:space="preserve">compared to the </w:t>
      </w:r>
      <w:r w:rsidR="00C0562C">
        <w:rPr>
          <w:rFonts w:ascii="Arial" w:hAnsi="Arial" w:cs="Arial"/>
          <w:sz w:val="20"/>
          <w:szCs w:val="20"/>
        </w:rPr>
        <w:t xml:space="preserve">parameters of the </w:t>
      </w:r>
      <w:r w:rsidR="00310FE3" w:rsidRPr="00C0562C">
        <w:rPr>
          <w:rFonts w:ascii="Arial" w:hAnsi="Arial" w:cs="Arial"/>
          <w:sz w:val="20"/>
          <w:szCs w:val="20"/>
        </w:rPr>
        <w:t xml:space="preserve">previous model (Table A1). </w:t>
      </w:r>
      <w:r w:rsidR="00C0562C" w:rsidRPr="00C0562C">
        <w:rPr>
          <w:rFonts w:ascii="Arial" w:hAnsi="Arial" w:cs="Arial"/>
          <w:sz w:val="20"/>
          <w:szCs w:val="20"/>
        </w:rPr>
        <w:t xml:space="preserve">Both models </w:t>
      </w:r>
      <w:r w:rsidR="00A504E5" w:rsidRPr="00C0562C">
        <w:rPr>
          <w:rFonts w:ascii="Arial" w:hAnsi="Arial" w:cs="Arial"/>
          <w:sz w:val="20"/>
          <w:szCs w:val="20"/>
        </w:rPr>
        <w:t xml:space="preserve">explained 70 per cent of the variance (deviance). In other words, </w:t>
      </w:r>
      <w:r w:rsidR="00C0562C">
        <w:rPr>
          <w:rFonts w:ascii="Arial" w:hAnsi="Arial" w:cs="Arial"/>
          <w:sz w:val="20"/>
          <w:szCs w:val="20"/>
        </w:rPr>
        <w:t>both models</w:t>
      </w:r>
      <w:r w:rsidR="00A504E5" w:rsidRPr="00C0562C">
        <w:rPr>
          <w:rFonts w:ascii="Arial" w:hAnsi="Arial" w:cs="Arial"/>
          <w:sz w:val="20"/>
          <w:szCs w:val="20"/>
        </w:rPr>
        <w:t xml:space="preserve"> ‘explained’ 70 per cent of the variation in the total LSOAs’ household </w:t>
      </w:r>
      <w:r w:rsidR="00921CA2">
        <w:rPr>
          <w:rFonts w:ascii="Arial" w:hAnsi="Arial" w:cs="Arial"/>
          <w:sz w:val="20"/>
          <w:szCs w:val="20"/>
        </w:rPr>
        <w:t>response/</w:t>
      </w:r>
      <w:r w:rsidR="00A504E5" w:rsidRPr="00C0562C">
        <w:rPr>
          <w:rFonts w:ascii="Arial" w:hAnsi="Arial" w:cs="Arial"/>
          <w:sz w:val="20"/>
          <w:szCs w:val="20"/>
        </w:rPr>
        <w:t xml:space="preserve">non-response observed in 2011. </w:t>
      </w:r>
    </w:p>
    <w:p w14:paraId="7D242B5C" w14:textId="77777777" w:rsidR="008A4AFB" w:rsidRDefault="008A4AFB" w:rsidP="00CC36A9">
      <w:pPr>
        <w:tabs>
          <w:tab w:val="num" w:pos="360"/>
          <w:tab w:val="num" w:pos="1440"/>
        </w:tabs>
        <w:spacing w:after="0" w:line="240" w:lineRule="auto"/>
        <w:jc w:val="both"/>
        <w:rPr>
          <w:rFonts w:ascii="Arial" w:hAnsi="Arial" w:cs="Arial"/>
          <w:sz w:val="20"/>
          <w:szCs w:val="20"/>
          <w:lang w:val="en-US"/>
        </w:rPr>
      </w:pPr>
    </w:p>
    <w:p w14:paraId="6FA0530B" w14:textId="3D4154D4" w:rsidR="00EC3DB3" w:rsidRDefault="00EC3DB3" w:rsidP="00C14976">
      <w:pPr>
        <w:keepNext/>
        <w:keepLines/>
        <w:tabs>
          <w:tab w:val="num" w:pos="360"/>
          <w:tab w:val="num" w:pos="1440"/>
        </w:tabs>
        <w:spacing w:after="0" w:line="240" w:lineRule="auto"/>
        <w:jc w:val="both"/>
        <w:rPr>
          <w:rFonts w:ascii="Arial" w:hAnsi="Arial" w:cs="Arial"/>
          <w:sz w:val="20"/>
          <w:szCs w:val="20"/>
          <w:lang w:val="en-US"/>
        </w:rPr>
      </w:pPr>
      <w:r w:rsidRPr="00C0562C">
        <w:rPr>
          <w:rFonts w:ascii="Arial" w:hAnsi="Arial" w:cs="Arial"/>
          <w:sz w:val="20"/>
          <w:szCs w:val="20"/>
          <w:lang w:val="en-US"/>
        </w:rPr>
        <w:lastRenderedPageBreak/>
        <w:t>Table A</w:t>
      </w:r>
      <w:r w:rsidR="0045348F" w:rsidRPr="00C0562C">
        <w:rPr>
          <w:rFonts w:ascii="Arial" w:hAnsi="Arial" w:cs="Arial"/>
          <w:sz w:val="20"/>
          <w:szCs w:val="20"/>
          <w:lang w:val="en-US"/>
        </w:rPr>
        <w:t>3</w:t>
      </w:r>
      <w:r w:rsidRPr="00C0562C">
        <w:rPr>
          <w:rFonts w:ascii="Arial" w:hAnsi="Arial" w:cs="Arial"/>
          <w:sz w:val="20"/>
          <w:szCs w:val="20"/>
          <w:lang w:val="en-US"/>
        </w:rPr>
        <w:t>: Number of LSOAs in HtC categories 1 to 5 given by the Willingness model with or without the use of DVLA data as a covariate in the model. England and Wales.</w:t>
      </w:r>
    </w:p>
    <w:p w14:paraId="0E6012AC" w14:textId="77777777" w:rsidR="00C14976" w:rsidRPr="00C0562C" w:rsidRDefault="00C14976" w:rsidP="00C14976">
      <w:pPr>
        <w:keepNext/>
        <w:keepLines/>
        <w:tabs>
          <w:tab w:val="num" w:pos="360"/>
          <w:tab w:val="num" w:pos="1440"/>
        </w:tabs>
        <w:spacing w:after="0" w:line="240" w:lineRule="auto"/>
        <w:jc w:val="both"/>
        <w:rPr>
          <w:rFonts w:ascii="Arial" w:hAnsi="Arial" w:cs="Arial"/>
          <w:sz w:val="20"/>
          <w:szCs w:val="20"/>
          <w:lang w:val="en-US"/>
        </w:rPr>
      </w:pPr>
    </w:p>
    <w:p w14:paraId="749EB91D" w14:textId="77777777" w:rsidR="004304D0" w:rsidRPr="00C0562C" w:rsidRDefault="0031417D"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noProof/>
          <w:sz w:val="20"/>
          <w:szCs w:val="20"/>
        </w:rPr>
        <w:drawing>
          <wp:inline distT="0" distB="0" distL="0" distR="0" wp14:anchorId="0D262BEC" wp14:editId="0C6FA2BA">
            <wp:extent cx="4401820" cy="1852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01820" cy="1852295"/>
                    </a:xfrm>
                    <a:prstGeom prst="rect">
                      <a:avLst/>
                    </a:prstGeom>
                    <a:noFill/>
                    <a:ln>
                      <a:noFill/>
                    </a:ln>
                  </pic:spPr>
                </pic:pic>
              </a:graphicData>
            </a:graphic>
          </wp:inline>
        </w:drawing>
      </w:r>
    </w:p>
    <w:p w14:paraId="083091F0" w14:textId="77777777" w:rsidR="0031417D" w:rsidRPr="00C0562C" w:rsidRDefault="0031417D" w:rsidP="00CC36A9">
      <w:pPr>
        <w:suppressAutoHyphens w:val="0"/>
        <w:autoSpaceDN/>
        <w:spacing w:after="0" w:line="240" w:lineRule="auto"/>
        <w:jc w:val="both"/>
        <w:textAlignment w:val="auto"/>
        <w:rPr>
          <w:rFonts w:ascii="Arial" w:hAnsi="Arial" w:cs="Arial"/>
          <w:sz w:val="20"/>
          <w:szCs w:val="20"/>
        </w:rPr>
      </w:pPr>
    </w:p>
    <w:p w14:paraId="4A5B562A" w14:textId="77777777" w:rsidR="0031417D" w:rsidRPr="00C0562C" w:rsidRDefault="0031417D" w:rsidP="00CC36A9">
      <w:pPr>
        <w:suppressAutoHyphens w:val="0"/>
        <w:autoSpaceDN/>
        <w:spacing w:after="0" w:line="240" w:lineRule="auto"/>
        <w:jc w:val="both"/>
        <w:textAlignment w:val="auto"/>
        <w:rPr>
          <w:rFonts w:ascii="Arial" w:hAnsi="Arial" w:cs="Arial"/>
          <w:sz w:val="20"/>
          <w:szCs w:val="20"/>
          <w:lang w:val="en-US"/>
        </w:rPr>
      </w:pPr>
      <w:r w:rsidRPr="00C0562C">
        <w:rPr>
          <w:rFonts w:ascii="Arial" w:hAnsi="Arial" w:cs="Arial"/>
          <w:sz w:val="20"/>
          <w:szCs w:val="20"/>
        </w:rPr>
        <w:t>Table A</w:t>
      </w:r>
      <w:r w:rsidR="0045348F" w:rsidRPr="00C0562C">
        <w:rPr>
          <w:rFonts w:ascii="Arial" w:hAnsi="Arial" w:cs="Arial"/>
          <w:sz w:val="20"/>
          <w:szCs w:val="20"/>
        </w:rPr>
        <w:t>4</w:t>
      </w:r>
      <w:r w:rsidRPr="00C0562C">
        <w:rPr>
          <w:rFonts w:ascii="Arial" w:hAnsi="Arial" w:cs="Arial"/>
          <w:sz w:val="20"/>
          <w:szCs w:val="20"/>
        </w:rPr>
        <w:t>: Percentage o</w:t>
      </w:r>
      <w:r w:rsidRPr="00C0562C">
        <w:rPr>
          <w:rFonts w:ascii="Arial" w:hAnsi="Arial" w:cs="Arial"/>
          <w:sz w:val="20"/>
          <w:szCs w:val="20"/>
          <w:lang w:val="en-US"/>
        </w:rPr>
        <w:t>f LSOAs</w:t>
      </w:r>
      <w:r w:rsidR="00D47FEC" w:rsidRPr="00C0562C">
        <w:rPr>
          <w:rFonts w:ascii="Arial" w:hAnsi="Arial" w:cs="Arial"/>
          <w:sz w:val="20"/>
          <w:szCs w:val="20"/>
          <w:lang w:val="en-US"/>
        </w:rPr>
        <w:t>’</w:t>
      </w:r>
      <w:r w:rsidR="00E16218" w:rsidRPr="00C0562C">
        <w:rPr>
          <w:rFonts w:ascii="Arial" w:hAnsi="Arial" w:cs="Arial"/>
          <w:sz w:val="20"/>
          <w:szCs w:val="20"/>
          <w:lang w:val="en-US"/>
        </w:rPr>
        <w:t xml:space="preserve"> agreement</w:t>
      </w:r>
      <w:r w:rsidRPr="00C0562C">
        <w:rPr>
          <w:rFonts w:ascii="Arial" w:hAnsi="Arial" w:cs="Arial"/>
          <w:sz w:val="20"/>
          <w:szCs w:val="20"/>
          <w:lang w:val="en-US"/>
        </w:rPr>
        <w:t xml:space="preserve"> in HtC categories 1 to 5 given by the Willingness model </w:t>
      </w:r>
      <w:r w:rsidR="00E16218" w:rsidRPr="00C0562C">
        <w:rPr>
          <w:rFonts w:ascii="Arial" w:hAnsi="Arial" w:cs="Arial"/>
          <w:sz w:val="20"/>
          <w:szCs w:val="20"/>
          <w:lang w:val="en-US"/>
        </w:rPr>
        <w:t xml:space="preserve">with or without the use of DVLA data as a covariate in the model. </w:t>
      </w:r>
      <w:r w:rsidRPr="00C0562C">
        <w:rPr>
          <w:rFonts w:ascii="Arial" w:hAnsi="Arial" w:cs="Arial"/>
          <w:sz w:val="20"/>
          <w:szCs w:val="20"/>
          <w:lang w:val="en-US"/>
        </w:rPr>
        <w:t>England and Wales.</w:t>
      </w:r>
    </w:p>
    <w:p w14:paraId="2D056905" w14:textId="77777777" w:rsidR="00D47FEC" w:rsidRPr="00C0562C" w:rsidRDefault="00D47FEC" w:rsidP="00CC36A9">
      <w:pPr>
        <w:suppressAutoHyphens w:val="0"/>
        <w:autoSpaceDN/>
        <w:spacing w:after="0" w:line="240" w:lineRule="auto"/>
        <w:jc w:val="both"/>
        <w:textAlignment w:val="auto"/>
        <w:rPr>
          <w:rFonts w:ascii="Arial" w:hAnsi="Arial" w:cs="Arial"/>
          <w:sz w:val="20"/>
          <w:szCs w:val="20"/>
          <w:lang w:val="en-US"/>
        </w:rPr>
      </w:pPr>
    </w:p>
    <w:p w14:paraId="439A9D8A" w14:textId="77777777" w:rsidR="0031417D" w:rsidRPr="00C0562C" w:rsidRDefault="00B169EF"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noProof/>
          <w:sz w:val="20"/>
          <w:szCs w:val="20"/>
        </w:rPr>
        <w:drawing>
          <wp:inline distT="0" distB="0" distL="0" distR="0" wp14:anchorId="31C27092" wp14:editId="0B6550F5">
            <wp:extent cx="4401820" cy="187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01820" cy="1870075"/>
                    </a:xfrm>
                    <a:prstGeom prst="rect">
                      <a:avLst/>
                    </a:prstGeom>
                    <a:noFill/>
                    <a:ln>
                      <a:noFill/>
                    </a:ln>
                  </pic:spPr>
                </pic:pic>
              </a:graphicData>
            </a:graphic>
          </wp:inline>
        </w:drawing>
      </w:r>
    </w:p>
    <w:p w14:paraId="1D9A7DDE" w14:textId="77777777" w:rsidR="00B169EF" w:rsidRPr="00C0562C" w:rsidRDefault="00B169EF" w:rsidP="00CC36A9">
      <w:pPr>
        <w:suppressAutoHyphens w:val="0"/>
        <w:autoSpaceDN/>
        <w:spacing w:after="0" w:line="240" w:lineRule="auto"/>
        <w:jc w:val="both"/>
        <w:textAlignment w:val="auto"/>
        <w:rPr>
          <w:rFonts w:ascii="Arial" w:hAnsi="Arial" w:cs="Arial"/>
          <w:sz w:val="20"/>
          <w:szCs w:val="20"/>
        </w:rPr>
      </w:pPr>
    </w:p>
    <w:p w14:paraId="4ADB731B" w14:textId="77777777" w:rsidR="006F1FA9" w:rsidRPr="00C0562C" w:rsidRDefault="00540FD3" w:rsidP="00CC36A9">
      <w:pPr>
        <w:suppressAutoHyphens w:val="0"/>
        <w:autoSpaceDN/>
        <w:spacing w:after="0" w:line="240" w:lineRule="auto"/>
        <w:jc w:val="both"/>
        <w:textAlignment w:val="auto"/>
        <w:rPr>
          <w:rFonts w:ascii="Arial" w:hAnsi="Arial" w:cs="Arial"/>
          <w:sz w:val="20"/>
          <w:szCs w:val="20"/>
          <w:lang w:val="en-US"/>
        </w:rPr>
      </w:pPr>
      <w:r w:rsidRPr="00C0562C">
        <w:rPr>
          <w:rFonts w:ascii="Arial" w:hAnsi="Arial" w:cs="Arial"/>
          <w:sz w:val="20"/>
          <w:szCs w:val="20"/>
        </w:rPr>
        <w:t xml:space="preserve">Table A5: </w:t>
      </w:r>
      <w:r w:rsidR="006F1FA9" w:rsidRPr="00C0562C">
        <w:rPr>
          <w:rFonts w:ascii="Arial" w:hAnsi="Arial" w:cs="Arial"/>
          <w:sz w:val="20"/>
          <w:szCs w:val="20"/>
          <w:lang w:val="en-US"/>
        </w:rPr>
        <w:t>Kappa statistical test of agreement in HtC categories attributed to LSOAs by each model. LSOAs in England and Wales.</w:t>
      </w:r>
    </w:p>
    <w:p w14:paraId="5FDBBB42" w14:textId="77777777" w:rsidR="006F1FA9" w:rsidRPr="00C0562C" w:rsidRDefault="006F1FA9" w:rsidP="00CC36A9">
      <w:pPr>
        <w:suppressAutoHyphens w:val="0"/>
        <w:autoSpaceDN/>
        <w:spacing w:after="0" w:line="240" w:lineRule="auto"/>
        <w:jc w:val="both"/>
        <w:textAlignment w:val="auto"/>
        <w:rPr>
          <w:rFonts w:ascii="Arial" w:hAnsi="Arial" w:cs="Arial"/>
          <w:sz w:val="20"/>
          <w:szCs w:val="20"/>
        </w:rPr>
      </w:pPr>
    </w:p>
    <w:p w14:paraId="0BABB4C3" w14:textId="77777777" w:rsidR="004947F7" w:rsidRPr="00C0562C" w:rsidRDefault="00265F32" w:rsidP="00CC36A9">
      <w:pPr>
        <w:suppressAutoHyphens w:val="0"/>
        <w:autoSpaceDN/>
        <w:spacing w:after="0" w:line="240" w:lineRule="auto"/>
        <w:jc w:val="both"/>
        <w:textAlignment w:val="auto"/>
        <w:rPr>
          <w:rFonts w:ascii="Arial" w:hAnsi="Arial" w:cs="Arial"/>
          <w:sz w:val="20"/>
          <w:szCs w:val="20"/>
        </w:rPr>
      </w:pPr>
      <w:r w:rsidRPr="00265F32">
        <w:rPr>
          <w:noProof/>
        </w:rPr>
        <w:drawing>
          <wp:inline distT="0" distB="0" distL="0" distR="0" wp14:anchorId="48DF7828" wp14:editId="4011765D">
            <wp:extent cx="3880485" cy="14478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80485" cy="1447800"/>
                    </a:xfrm>
                    <a:prstGeom prst="rect">
                      <a:avLst/>
                    </a:prstGeom>
                    <a:noFill/>
                    <a:ln>
                      <a:noFill/>
                    </a:ln>
                  </pic:spPr>
                </pic:pic>
              </a:graphicData>
            </a:graphic>
          </wp:inline>
        </w:drawing>
      </w:r>
    </w:p>
    <w:p w14:paraId="554251E3" w14:textId="77777777" w:rsidR="00540FD3" w:rsidRPr="00C56021" w:rsidRDefault="00C56021" w:rsidP="00CC36A9">
      <w:pPr>
        <w:suppressAutoHyphens w:val="0"/>
        <w:autoSpaceDN/>
        <w:spacing w:after="0" w:line="240" w:lineRule="auto"/>
        <w:jc w:val="both"/>
        <w:textAlignment w:val="auto"/>
        <w:rPr>
          <w:rFonts w:ascii="Arial" w:hAnsi="Arial" w:cs="Arial"/>
          <w:sz w:val="17"/>
          <w:szCs w:val="17"/>
        </w:rPr>
      </w:pPr>
      <w:r w:rsidRPr="00C56021">
        <w:rPr>
          <w:rFonts w:ascii="Arial" w:hAnsi="Arial" w:cs="Arial"/>
          <w:sz w:val="17"/>
          <w:szCs w:val="17"/>
        </w:rPr>
        <w:t xml:space="preserve">  * Kappa value = 0.82 = Almost perfect agreement (Landis and Koch, 1977)</w:t>
      </w:r>
      <w:r w:rsidRPr="00C56021">
        <w:rPr>
          <w:rStyle w:val="FootnoteReference"/>
          <w:rFonts w:ascii="Arial" w:hAnsi="Arial" w:cs="Arial"/>
          <w:b/>
          <w:sz w:val="17"/>
          <w:szCs w:val="17"/>
        </w:rPr>
        <w:footnoteReference w:id="2"/>
      </w:r>
      <w:r w:rsidRPr="00C56021">
        <w:rPr>
          <w:rFonts w:ascii="Arial" w:hAnsi="Arial" w:cs="Arial"/>
          <w:sz w:val="17"/>
          <w:szCs w:val="17"/>
        </w:rPr>
        <w:t xml:space="preserve">  </w:t>
      </w:r>
    </w:p>
    <w:p w14:paraId="2634A12D" w14:textId="77777777" w:rsidR="00C56021" w:rsidRDefault="00C56021" w:rsidP="00CC36A9">
      <w:pPr>
        <w:tabs>
          <w:tab w:val="num" w:pos="360"/>
          <w:tab w:val="num" w:pos="1440"/>
        </w:tabs>
        <w:spacing w:after="0" w:line="240" w:lineRule="auto"/>
        <w:jc w:val="both"/>
        <w:rPr>
          <w:rFonts w:ascii="Arial" w:hAnsi="Arial" w:cs="Arial"/>
          <w:sz w:val="20"/>
          <w:szCs w:val="20"/>
          <w:lang w:val="en-US"/>
        </w:rPr>
      </w:pPr>
    </w:p>
    <w:p w14:paraId="4C17FEEF" w14:textId="77777777" w:rsidR="00D47FEC" w:rsidRPr="00C0562C" w:rsidRDefault="00D47FEC" w:rsidP="00C14976">
      <w:pPr>
        <w:keepNext/>
        <w:keepLines/>
        <w:tabs>
          <w:tab w:val="num" w:pos="360"/>
          <w:tab w:val="num" w:pos="1440"/>
        </w:tabs>
        <w:spacing w:after="0" w:line="240" w:lineRule="auto"/>
        <w:jc w:val="both"/>
        <w:rPr>
          <w:rFonts w:ascii="Arial" w:hAnsi="Arial" w:cs="Arial"/>
          <w:sz w:val="20"/>
          <w:szCs w:val="20"/>
          <w:lang w:val="en-US"/>
        </w:rPr>
      </w:pPr>
      <w:r w:rsidRPr="00C0562C">
        <w:rPr>
          <w:rFonts w:ascii="Arial" w:hAnsi="Arial" w:cs="Arial"/>
          <w:sz w:val="20"/>
          <w:szCs w:val="20"/>
          <w:lang w:val="en-US"/>
        </w:rPr>
        <w:lastRenderedPageBreak/>
        <w:t>Table A</w:t>
      </w:r>
      <w:r w:rsidR="00540FD3" w:rsidRPr="00C0562C">
        <w:rPr>
          <w:rFonts w:ascii="Arial" w:hAnsi="Arial" w:cs="Arial"/>
          <w:sz w:val="20"/>
          <w:szCs w:val="20"/>
          <w:lang w:val="en-US"/>
        </w:rPr>
        <w:t>6</w:t>
      </w:r>
      <w:r w:rsidRPr="00C0562C">
        <w:rPr>
          <w:rFonts w:ascii="Arial" w:hAnsi="Arial" w:cs="Arial"/>
          <w:sz w:val="20"/>
          <w:szCs w:val="20"/>
          <w:lang w:val="en-US"/>
        </w:rPr>
        <w:t xml:space="preserve">: Number of LSOAs in HtC categories 1 to 5 given by the Willingness model with and without the use of DVLA data as a covariate in the model. </w:t>
      </w:r>
      <w:r w:rsidR="00921CA2">
        <w:rPr>
          <w:rFonts w:ascii="Arial" w:hAnsi="Arial" w:cs="Arial"/>
          <w:sz w:val="20"/>
          <w:szCs w:val="20"/>
          <w:lang w:val="en-US"/>
        </w:rPr>
        <w:t xml:space="preserve">LSOAs in </w:t>
      </w:r>
      <w:r w:rsidRPr="00C0562C">
        <w:rPr>
          <w:rFonts w:ascii="Arial" w:hAnsi="Arial" w:cs="Arial"/>
          <w:sz w:val="20"/>
          <w:szCs w:val="20"/>
          <w:lang w:val="en-US"/>
        </w:rPr>
        <w:t xml:space="preserve">Inner and Outer London. </w:t>
      </w:r>
    </w:p>
    <w:p w14:paraId="4F9BEA85" w14:textId="77777777" w:rsidR="00FC5B54" w:rsidRPr="00C0562C" w:rsidRDefault="00FC5B54" w:rsidP="00C14976">
      <w:pPr>
        <w:keepNext/>
        <w:keepLines/>
        <w:tabs>
          <w:tab w:val="num" w:pos="360"/>
          <w:tab w:val="num" w:pos="1440"/>
        </w:tabs>
        <w:spacing w:after="0" w:line="240" w:lineRule="auto"/>
        <w:jc w:val="both"/>
        <w:rPr>
          <w:rFonts w:ascii="Arial" w:hAnsi="Arial" w:cs="Arial"/>
          <w:sz w:val="20"/>
          <w:szCs w:val="20"/>
          <w:lang w:val="en-US"/>
        </w:rPr>
      </w:pPr>
    </w:p>
    <w:p w14:paraId="2B80C609" w14:textId="77777777" w:rsidR="00B169EF" w:rsidRPr="00C0562C" w:rsidRDefault="00FC5B54"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noProof/>
          <w:sz w:val="20"/>
          <w:szCs w:val="20"/>
        </w:rPr>
        <w:drawing>
          <wp:inline distT="0" distB="0" distL="0" distR="0" wp14:anchorId="78F6B3D6" wp14:editId="2B5E01B8">
            <wp:extent cx="446659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6590" cy="1670685"/>
                    </a:xfrm>
                    <a:prstGeom prst="rect">
                      <a:avLst/>
                    </a:prstGeom>
                    <a:noFill/>
                    <a:ln>
                      <a:noFill/>
                    </a:ln>
                  </pic:spPr>
                </pic:pic>
              </a:graphicData>
            </a:graphic>
          </wp:inline>
        </w:drawing>
      </w:r>
    </w:p>
    <w:p w14:paraId="063A1952" w14:textId="77777777" w:rsidR="00FC5B54" w:rsidRPr="00C0562C" w:rsidRDefault="00FC5B54" w:rsidP="00CC36A9">
      <w:pPr>
        <w:tabs>
          <w:tab w:val="num" w:pos="360"/>
          <w:tab w:val="num" w:pos="1440"/>
        </w:tabs>
        <w:spacing w:after="0" w:line="240" w:lineRule="auto"/>
        <w:jc w:val="both"/>
        <w:rPr>
          <w:rFonts w:ascii="Arial" w:hAnsi="Arial" w:cs="Arial"/>
          <w:sz w:val="20"/>
          <w:szCs w:val="20"/>
          <w:lang w:val="en-US"/>
        </w:rPr>
      </w:pPr>
    </w:p>
    <w:p w14:paraId="1733333B" w14:textId="77777777" w:rsidR="00D47FEC" w:rsidRPr="00C0562C" w:rsidRDefault="00D47FEC" w:rsidP="00CC36A9">
      <w:pPr>
        <w:tabs>
          <w:tab w:val="num" w:pos="360"/>
          <w:tab w:val="num" w:pos="1440"/>
        </w:tabs>
        <w:spacing w:after="0" w:line="240" w:lineRule="auto"/>
        <w:jc w:val="both"/>
        <w:rPr>
          <w:rFonts w:ascii="Arial" w:hAnsi="Arial" w:cs="Arial"/>
          <w:sz w:val="20"/>
          <w:szCs w:val="20"/>
          <w:lang w:val="en-US"/>
        </w:rPr>
      </w:pPr>
      <w:r w:rsidRPr="00C0562C">
        <w:rPr>
          <w:rFonts w:ascii="Arial" w:hAnsi="Arial" w:cs="Arial"/>
          <w:sz w:val="20"/>
          <w:szCs w:val="20"/>
          <w:lang w:val="en-US"/>
        </w:rPr>
        <w:t>Table A</w:t>
      </w:r>
      <w:r w:rsidR="00540FD3" w:rsidRPr="00C0562C">
        <w:rPr>
          <w:rFonts w:ascii="Arial" w:hAnsi="Arial" w:cs="Arial"/>
          <w:sz w:val="20"/>
          <w:szCs w:val="20"/>
          <w:lang w:val="en-US"/>
        </w:rPr>
        <w:t>7</w:t>
      </w:r>
      <w:r w:rsidRPr="00C0562C">
        <w:rPr>
          <w:rFonts w:ascii="Arial" w:hAnsi="Arial" w:cs="Arial"/>
          <w:sz w:val="20"/>
          <w:szCs w:val="20"/>
          <w:lang w:val="en-US"/>
        </w:rPr>
        <w:t xml:space="preserve">: </w:t>
      </w:r>
      <w:r w:rsidRPr="00C0562C">
        <w:rPr>
          <w:rFonts w:ascii="Arial" w:hAnsi="Arial" w:cs="Arial"/>
          <w:sz w:val="20"/>
          <w:szCs w:val="20"/>
        </w:rPr>
        <w:t>Percentage o</w:t>
      </w:r>
      <w:r w:rsidRPr="00C0562C">
        <w:rPr>
          <w:rFonts w:ascii="Arial" w:hAnsi="Arial" w:cs="Arial"/>
          <w:sz w:val="20"/>
          <w:szCs w:val="20"/>
          <w:lang w:val="en-US"/>
        </w:rPr>
        <w:t xml:space="preserve">f LSOAs’ agreement in HtC categories 1 to 5 given by the Willingness model with or without the use of DVLA data as a covariate in the model. </w:t>
      </w:r>
      <w:r w:rsidR="00921CA2">
        <w:rPr>
          <w:rFonts w:ascii="Arial" w:hAnsi="Arial" w:cs="Arial"/>
          <w:sz w:val="20"/>
          <w:szCs w:val="20"/>
          <w:lang w:val="en-US"/>
        </w:rPr>
        <w:t xml:space="preserve">LSOAs in </w:t>
      </w:r>
      <w:r w:rsidRPr="00C0562C">
        <w:rPr>
          <w:rFonts w:ascii="Arial" w:hAnsi="Arial" w:cs="Arial"/>
          <w:sz w:val="20"/>
          <w:szCs w:val="20"/>
          <w:lang w:val="en-US"/>
        </w:rPr>
        <w:t xml:space="preserve">Inner and Outer London. </w:t>
      </w:r>
    </w:p>
    <w:p w14:paraId="22412C23" w14:textId="77777777" w:rsidR="00D47FEC" w:rsidRPr="00C0562C" w:rsidRDefault="00586A95" w:rsidP="00CC36A9">
      <w:pPr>
        <w:suppressAutoHyphens w:val="0"/>
        <w:autoSpaceDN/>
        <w:spacing w:after="0" w:line="240" w:lineRule="auto"/>
        <w:jc w:val="both"/>
        <w:textAlignment w:val="auto"/>
        <w:rPr>
          <w:rFonts w:ascii="Arial" w:hAnsi="Arial" w:cs="Arial"/>
          <w:sz w:val="20"/>
          <w:szCs w:val="20"/>
        </w:rPr>
      </w:pPr>
      <w:r w:rsidRPr="00C0562C">
        <w:rPr>
          <w:rFonts w:ascii="Arial" w:hAnsi="Arial" w:cs="Arial"/>
          <w:noProof/>
          <w:sz w:val="20"/>
          <w:szCs w:val="20"/>
        </w:rPr>
        <w:drawing>
          <wp:inline distT="0" distB="0" distL="0" distR="0" wp14:anchorId="5074B5C0" wp14:editId="286D72A6">
            <wp:extent cx="4466590" cy="1870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66590" cy="1870075"/>
                    </a:xfrm>
                    <a:prstGeom prst="rect">
                      <a:avLst/>
                    </a:prstGeom>
                    <a:noFill/>
                    <a:ln>
                      <a:noFill/>
                    </a:ln>
                  </pic:spPr>
                </pic:pic>
              </a:graphicData>
            </a:graphic>
          </wp:inline>
        </w:drawing>
      </w:r>
    </w:p>
    <w:p w14:paraId="3946FC0E" w14:textId="77777777" w:rsidR="00540FD3" w:rsidRPr="00C0562C" w:rsidRDefault="00540FD3" w:rsidP="00CC36A9">
      <w:pPr>
        <w:suppressAutoHyphens w:val="0"/>
        <w:autoSpaceDN/>
        <w:spacing w:after="0" w:line="240" w:lineRule="auto"/>
        <w:jc w:val="both"/>
        <w:textAlignment w:val="auto"/>
        <w:rPr>
          <w:rFonts w:ascii="Arial" w:hAnsi="Arial" w:cs="Arial"/>
          <w:sz w:val="20"/>
          <w:szCs w:val="20"/>
        </w:rPr>
      </w:pPr>
    </w:p>
    <w:p w14:paraId="7340678B" w14:textId="77777777" w:rsidR="00921CA2" w:rsidRDefault="00540FD3" w:rsidP="00CC36A9">
      <w:pPr>
        <w:suppressAutoHyphens w:val="0"/>
        <w:autoSpaceDN/>
        <w:spacing w:after="0" w:line="240" w:lineRule="auto"/>
        <w:jc w:val="both"/>
        <w:textAlignment w:val="auto"/>
        <w:rPr>
          <w:rFonts w:ascii="Arial" w:hAnsi="Arial" w:cs="Arial"/>
          <w:sz w:val="20"/>
          <w:szCs w:val="20"/>
          <w:lang w:val="en-US"/>
        </w:rPr>
      </w:pPr>
      <w:r w:rsidRPr="00C0562C">
        <w:rPr>
          <w:rFonts w:ascii="Arial" w:hAnsi="Arial" w:cs="Arial"/>
          <w:sz w:val="20"/>
          <w:szCs w:val="20"/>
        </w:rPr>
        <w:t xml:space="preserve">Table A8: </w:t>
      </w:r>
      <w:r w:rsidR="00921CA2" w:rsidRPr="00C0562C">
        <w:rPr>
          <w:rFonts w:ascii="Arial" w:hAnsi="Arial" w:cs="Arial"/>
          <w:sz w:val="20"/>
          <w:szCs w:val="20"/>
          <w:lang w:val="en-US"/>
        </w:rPr>
        <w:t>Kappa statistical test of agreement in HtC categories attributed to LSOAs by each model. LSOAs in Inner and Outer London.</w:t>
      </w:r>
    </w:p>
    <w:p w14:paraId="08D1441F" w14:textId="77777777" w:rsidR="00322F30" w:rsidRPr="00C0562C" w:rsidRDefault="00322F30" w:rsidP="00CC36A9">
      <w:pPr>
        <w:suppressAutoHyphens w:val="0"/>
        <w:autoSpaceDN/>
        <w:spacing w:after="0" w:line="240" w:lineRule="auto"/>
        <w:jc w:val="both"/>
        <w:textAlignment w:val="auto"/>
        <w:rPr>
          <w:rFonts w:ascii="Arial" w:hAnsi="Arial" w:cs="Arial"/>
          <w:sz w:val="20"/>
          <w:szCs w:val="20"/>
          <w:lang w:val="en-US"/>
        </w:rPr>
      </w:pPr>
    </w:p>
    <w:p w14:paraId="5F2F2038" w14:textId="77777777" w:rsidR="00540FD3" w:rsidRDefault="00265F32" w:rsidP="00CC36A9">
      <w:pPr>
        <w:suppressAutoHyphens w:val="0"/>
        <w:autoSpaceDN/>
        <w:spacing w:after="0" w:line="240" w:lineRule="auto"/>
        <w:jc w:val="both"/>
        <w:textAlignment w:val="auto"/>
        <w:rPr>
          <w:rFonts w:ascii="Arial" w:hAnsi="Arial" w:cs="Arial"/>
          <w:sz w:val="20"/>
          <w:szCs w:val="20"/>
        </w:rPr>
      </w:pPr>
      <w:r w:rsidRPr="00265F32">
        <w:rPr>
          <w:noProof/>
        </w:rPr>
        <w:drawing>
          <wp:inline distT="0" distB="0" distL="0" distR="0" wp14:anchorId="09D4135D" wp14:editId="27F78E16">
            <wp:extent cx="3938905" cy="1442085"/>
            <wp:effectExtent l="0" t="0" r="444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8905" cy="1442085"/>
                    </a:xfrm>
                    <a:prstGeom prst="rect">
                      <a:avLst/>
                    </a:prstGeom>
                    <a:noFill/>
                    <a:ln>
                      <a:noFill/>
                    </a:ln>
                  </pic:spPr>
                </pic:pic>
              </a:graphicData>
            </a:graphic>
          </wp:inline>
        </w:drawing>
      </w:r>
    </w:p>
    <w:p w14:paraId="2DF3DEB5" w14:textId="77777777" w:rsidR="00A5549E" w:rsidRPr="00265F32" w:rsidRDefault="00265F32" w:rsidP="00CC36A9">
      <w:pPr>
        <w:suppressAutoHyphens w:val="0"/>
        <w:autoSpaceDN/>
        <w:spacing w:after="0" w:line="240" w:lineRule="auto"/>
        <w:jc w:val="both"/>
        <w:textAlignment w:val="auto"/>
        <w:rPr>
          <w:rFonts w:ascii="Arial" w:hAnsi="Arial" w:cs="Arial"/>
          <w:sz w:val="17"/>
          <w:szCs w:val="17"/>
        </w:rPr>
      </w:pPr>
      <w:r w:rsidRPr="00265F32">
        <w:rPr>
          <w:rFonts w:ascii="Arial" w:hAnsi="Arial" w:cs="Arial"/>
          <w:sz w:val="17"/>
          <w:szCs w:val="17"/>
        </w:rPr>
        <w:t xml:space="preserve">  * Kappa value = 0.81 = Almost perfect agreement (Landis and Koch, 1977)   </w:t>
      </w:r>
    </w:p>
    <w:p w14:paraId="7FB3A1D6" w14:textId="77777777" w:rsidR="00265F32" w:rsidRDefault="00265F32" w:rsidP="00CC36A9">
      <w:pPr>
        <w:suppressAutoHyphens w:val="0"/>
        <w:autoSpaceDN/>
        <w:spacing w:after="0" w:line="240" w:lineRule="auto"/>
        <w:jc w:val="both"/>
        <w:textAlignment w:val="auto"/>
        <w:rPr>
          <w:rFonts w:ascii="Arial" w:hAnsi="Arial" w:cs="Arial"/>
          <w:sz w:val="20"/>
          <w:szCs w:val="20"/>
        </w:rPr>
      </w:pPr>
    </w:p>
    <w:p w14:paraId="29549803" w14:textId="77777777" w:rsidR="00A5549E" w:rsidRPr="00C0562C" w:rsidRDefault="00904A13" w:rsidP="00CC36A9">
      <w:pPr>
        <w:suppressAutoHyphens w:val="0"/>
        <w:autoSpaceDN/>
        <w:spacing w:after="0" w:line="240" w:lineRule="auto"/>
        <w:jc w:val="both"/>
        <w:textAlignment w:val="auto"/>
        <w:rPr>
          <w:rFonts w:ascii="Arial" w:hAnsi="Arial" w:cs="Arial"/>
          <w:sz w:val="20"/>
          <w:szCs w:val="20"/>
        </w:rPr>
      </w:pPr>
      <w:r>
        <w:rPr>
          <w:rFonts w:ascii="Arial" w:hAnsi="Arial" w:cs="Arial"/>
          <w:sz w:val="20"/>
          <w:szCs w:val="20"/>
        </w:rPr>
        <w:t>The lowest agreement was seen for category 1 of the HtC. This can be partially explained because very few LSOAs fall in that category</w:t>
      </w:r>
      <w:r w:rsidR="00B37AD6">
        <w:rPr>
          <w:rFonts w:ascii="Arial" w:hAnsi="Arial" w:cs="Arial"/>
          <w:sz w:val="20"/>
          <w:szCs w:val="20"/>
        </w:rPr>
        <w:t>. This is the case</w:t>
      </w:r>
      <w:r>
        <w:rPr>
          <w:rFonts w:ascii="Arial" w:hAnsi="Arial" w:cs="Arial"/>
          <w:sz w:val="20"/>
          <w:szCs w:val="20"/>
        </w:rPr>
        <w:t xml:space="preserve"> independently of the model used. </w:t>
      </w:r>
      <w:r w:rsidR="00A5549E" w:rsidRPr="00A5549E">
        <w:rPr>
          <w:rFonts w:ascii="Arial" w:hAnsi="Arial" w:cs="Arial"/>
          <w:sz w:val="20"/>
          <w:szCs w:val="20"/>
        </w:rPr>
        <w:t>As the Kappa statistic test is a weighted test and category 1 of the HtC had the lowest number of observations in London, the overall agreement is still substantial (</w:t>
      </w:r>
      <w:r>
        <w:rPr>
          <w:rFonts w:ascii="Arial" w:hAnsi="Arial" w:cs="Arial"/>
          <w:sz w:val="20"/>
          <w:szCs w:val="20"/>
        </w:rPr>
        <w:t>0.81) (</w:t>
      </w:r>
      <w:r w:rsidR="00A5549E" w:rsidRPr="00A5549E">
        <w:rPr>
          <w:rFonts w:ascii="Arial" w:hAnsi="Arial" w:cs="Arial"/>
          <w:sz w:val="20"/>
          <w:szCs w:val="20"/>
        </w:rPr>
        <w:t xml:space="preserve">Table </w:t>
      </w:r>
      <w:r>
        <w:rPr>
          <w:rFonts w:ascii="Arial" w:hAnsi="Arial" w:cs="Arial"/>
          <w:sz w:val="20"/>
          <w:szCs w:val="20"/>
        </w:rPr>
        <w:t>A8</w:t>
      </w:r>
      <w:r w:rsidR="00A5549E" w:rsidRPr="00A5549E">
        <w:rPr>
          <w:rFonts w:ascii="Arial" w:hAnsi="Arial" w:cs="Arial"/>
          <w:sz w:val="20"/>
          <w:szCs w:val="20"/>
        </w:rPr>
        <w:t xml:space="preserve">).  </w:t>
      </w:r>
    </w:p>
    <w:sectPr w:rsidR="00A5549E" w:rsidRPr="00C0562C" w:rsidSect="007B656F">
      <w:footerReference w:type="defaul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40AA" w14:textId="77777777" w:rsidR="00D21D00" w:rsidRDefault="00D21D00" w:rsidP="00D21D00">
      <w:pPr>
        <w:spacing w:after="0" w:line="240" w:lineRule="auto"/>
      </w:pPr>
      <w:r>
        <w:separator/>
      </w:r>
    </w:p>
  </w:endnote>
  <w:endnote w:type="continuationSeparator" w:id="0">
    <w:p w14:paraId="762E0852" w14:textId="77777777" w:rsidR="00D21D00" w:rsidRDefault="00D21D00" w:rsidP="00D2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927876"/>
      <w:docPartObj>
        <w:docPartGallery w:val="Page Numbers (Bottom of Page)"/>
        <w:docPartUnique/>
      </w:docPartObj>
    </w:sdtPr>
    <w:sdtEndPr>
      <w:rPr>
        <w:noProof/>
      </w:rPr>
    </w:sdtEndPr>
    <w:sdtContent>
      <w:p w14:paraId="73B1BEAB" w14:textId="77777777" w:rsidR="00D21D00" w:rsidRDefault="00D21D00">
        <w:pPr>
          <w:pStyle w:val="Footer"/>
          <w:jc w:val="right"/>
        </w:pPr>
        <w:r>
          <w:fldChar w:fldCharType="begin"/>
        </w:r>
        <w:r>
          <w:instrText xml:space="preserve"> PAGE   \* MERGEFORMAT </w:instrText>
        </w:r>
        <w:r>
          <w:fldChar w:fldCharType="separate"/>
        </w:r>
        <w:r w:rsidR="00C51EDD">
          <w:rPr>
            <w:noProof/>
          </w:rPr>
          <w:t>1</w:t>
        </w:r>
        <w:r>
          <w:rPr>
            <w:noProof/>
          </w:rPr>
          <w:fldChar w:fldCharType="end"/>
        </w:r>
      </w:p>
    </w:sdtContent>
  </w:sdt>
  <w:p w14:paraId="04EC9B2A" w14:textId="77777777" w:rsidR="00D21D00" w:rsidRDefault="00D2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AAE7" w14:textId="77777777" w:rsidR="00D21D00" w:rsidRDefault="00D21D00" w:rsidP="00D21D00">
      <w:pPr>
        <w:spacing w:after="0" w:line="240" w:lineRule="auto"/>
      </w:pPr>
      <w:r>
        <w:separator/>
      </w:r>
    </w:p>
  </w:footnote>
  <w:footnote w:type="continuationSeparator" w:id="0">
    <w:p w14:paraId="5DF80C37" w14:textId="77777777" w:rsidR="00D21D00" w:rsidRDefault="00D21D00" w:rsidP="00D21D00">
      <w:pPr>
        <w:spacing w:after="0" w:line="240" w:lineRule="auto"/>
      </w:pPr>
      <w:r>
        <w:continuationSeparator/>
      </w:r>
    </w:p>
  </w:footnote>
  <w:footnote w:id="1">
    <w:p w14:paraId="3C4878CA" w14:textId="77777777" w:rsidR="003C35C6" w:rsidRPr="00C0562C" w:rsidRDefault="003C35C6" w:rsidP="003C35C6">
      <w:pPr>
        <w:pStyle w:val="FootnoteText"/>
        <w:rPr>
          <w:rFonts w:ascii="Arial" w:hAnsi="Arial" w:cs="Arial"/>
          <w:sz w:val="16"/>
          <w:szCs w:val="16"/>
        </w:rPr>
      </w:pPr>
      <w:r w:rsidRPr="00C0562C">
        <w:rPr>
          <w:rStyle w:val="FootnoteReference"/>
          <w:rFonts w:ascii="Arial" w:hAnsi="Arial" w:cs="Arial"/>
          <w:sz w:val="16"/>
          <w:szCs w:val="16"/>
        </w:rPr>
        <w:footnoteRef/>
      </w:r>
      <w:r w:rsidRPr="00C0562C">
        <w:rPr>
          <w:rFonts w:ascii="Arial" w:hAnsi="Arial" w:cs="Arial"/>
          <w:sz w:val="16"/>
          <w:szCs w:val="16"/>
        </w:rPr>
        <w:t xml:space="preserve"> ‘Principal component analysis is a variable reduction procedure. It is useful when you have obtained data on a number of variables (possibly a large </w:t>
      </w:r>
      <w:r w:rsidR="000E6BC0" w:rsidRPr="00C0562C">
        <w:rPr>
          <w:rFonts w:ascii="Arial" w:hAnsi="Arial" w:cs="Arial"/>
          <w:sz w:val="16"/>
          <w:szCs w:val="16"/>
        </w:rPr>
        <w:t xml:space="preserve">number of variables) </w:t>
      </w:r>
      <w:r w:rsidRPr="00C0562C">
        <w:rPr>
          <w:rFonts w:ascii="Arial" w:hAnsi="Arial" w:cs="Arial"/>
          <w:sz w:val="16"/>
          <w:szCs w:val="16"/>
        </w:rPr>
        <w:t>and believe that there is some redundancy in those variables. In this case, redundancy means that some of the variables are correlated with one another, possibly because they are measuring the same construct. Because of this redundancy, you believe that it should be possible to reduce the observed variables into a smaller number of principal components (artificial variables) that will account for most of the variance in the observed variables.’</w:t>
      </w:r>
    </w:p>
  </w:footnote>
  <w:footnote w:id="2">
    <w:p w14:paraId="434EC3F6" w14:textId="77777777" w:rsidR="00C56021" w:rsidRPr="00C0562C" w:rsidRDefault="00C56021" w:rsidP="00C56021">
      <w:pPr>
        <w:pStyle w:val="FootnoteText"/>
        <w:rPr>
          <w:rFonts w:ascii="Arial" w:hAnsi="Arial" w:cs="Arial"/>
          <w:sz w:val="16"/>
          <w:szCs w:val="16"/>
        </w:rPr>
      </w:pPr>
      <w:r w:rsidRPr="00C0562C">
        <w:rPr>
          <w:rStyle w:val="FootnoteReference"/>
          <w:rFonts w:ascii="Arial" w:hAnsi="Arial" w:cs="Arial"/>
          <w:sz w:val="16"/>
          <w:szCs w:val="16"/>
        </w:rPr>
        <w:footnoteRef/>
      </w:r>
      <w:r w:rsidRPr="00C0562C">
        <w:rPr>
          <w:rFonts w:ascii="Arial" w:hAnsi="Arial" w:cs="Arial"/>
          <w:sz w:val="16"/>
          <w:szCs w:val="16"/>
        </w:rPr>
        <w:t xml:space="preserve"> </w:t>
      </w:r>
      <w:r w:rsidR="001A14BF" w:rsidRPr="001A14BF">
        <w:rPr>
          <w:rFonts w:ascii="Arial" w:hAnsi="Arial" w:cs="Arial"/>
          <w:sz w:val="16"/>
          <w:szCs w:val="16"/>
        </w:rPr>
        <w:t>Landis, R and Kock, GG (1977).  The Measurement of Observer Agreement for Categorical Data. Biometrics, Vol. 33, No. 1 (Mar 1977), pp. 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72D"/>
    <w:multiLevelType w:val="hybridMultilevel"/>
    <w:tmpl w:val="97DAF694"/>
    <w:lvl w:ilvl="0" w:tplc="318048BC">
      <w:start w:val="1"/>
      <w:numFmt w:val="decimal"/>
      <w:lvlText w:val="%1."/>
      <w:lvlJc w:val="left"/>
      <w:pPr>
        <w:tabs>
          <w:tab w:val="num" w:pos="720"/>
        </w:tabs>
        <w:ind w:left="720" w:hanging="360"/>
      </w:pPr>
    </w:lvl>
    <w:lvl w:ilvl="1" w:tplc="B816D9A8" w:tentative="1">
      <w:start w:val="1"/>
      <w:numFmt w:val="decimal"/>
      <w:lvlText w:val="%2."/>
      <w:lvlJc w:val="left"/>
      <w:pPr>
        <w:tabs>
          <w:tab w:val="num" w:pos="1440"/>
        </w:tabs>
        <w:ind w:left="1440" w:hanging="360"/>
      </w:pPr>
    </w:lvl>
    <w:lvl w:ilvl="2" w:tplc="AB045FDC" w:tentative="1">
      <w:start w:val="1"/>
      <w:numFmt w:val="decimal"/>
      <w:lvlText w:val="%3."/>
      <w:lvlJc w:val="left"/>
      <w:pPr>
        <w:tabs>
          <w:tab w:val="num" w:pos="2160"/>
        </w:tabs>
        <w:ind w:left="2160" w:hanging="360"/>
      </w:pPr>
    </w:lvl>
    <w:lvl w:ilvl="3" w:tplc="D1E2887E" w:tentative="1">
      <w:start w:val="1"/>
      <w:numFmt w:val="decimal"/>
      <w:lvlText w:val="%4."/>
      <w:lvlJc w:val="left"/>
      <w:pPr>
        <w:tabs>
          <w:tab w:val="num" w:pos="2880"/>
        </w:tabs>
        <w:ind w:left="2880" w:hanging="360"/>
      </w:pPr>
    </w:lvl>
    <w:lvl w:ilvl="4" w:tplc="B25C02FE" w:tentative="1">
      <w:start w:val="1"/>
      <w:numFmt w:val="decimal"/>
      <w:lvlText w:val="%5."/>
      <w:lvlJc w:val="left"/>
      <w:pPr>
        <w:tabs>
          <w:tab w:val="num" w:pos="3600"/>
        </w:tabs>
        <w:ind w:left="3600" w:hanging="360"/>
      </w:pPr>
    </w:lvl>
    <w:lvl w:ilvl="5" w:tplc="2DE652A2" w:tentative="1">
      <w:start w:val="1"/>
      <w:numFmt w:val="decimal"/>
      <w:lvlText w:val="%6."/>
      <w:lvlJc w:val="left"/>
      <w:pPr>
        <w:tabs>
          <w:tab w:val="num" w:pos="4320"/>
        </w:tabs>
        <w:ind w:left="4320" w:hanging="360"/>
      </w:pPr>
    </w:lvl>
    <w:lvl w:ilvl="6" w:tplc="79201B24" w:tentative="1">
      <w:start w:val="1"/>
      <w:numFmt w:val="decimal"/>
      <w:lvlText w:val="%7."/>
      <w:lvlJc w:val="left"/>
      <w:pPr>
        <w:tabs>
          <w:tab w:val="num" w:pos="5040"/>
        </w:tabs>
        <w:ind w:left="5040" w:hanging="360"/>
      </w:pPr>
    </w:lvl>
    <w:lvl w:ilvl="7" w:tplc="9B381FC6" w:tentative="1">
      <w:start w:val="1"/>
      <w:numFmt w:val="decimal"/>
      <w:lvlText w:val="%8."/>
      <w:lvlJc w:val="left"/>
      <w:pPr>
        <w:tabs>
          <w:tab w:val="num" w:pos="5760"/>
        </w:tabs>
        <w:ind w:left="5760" w:hanging="360"/>
      </w:pPr>
    </w:lvl>
    <w:lvl w:ilvl="8" w:tplc="33D851E6" w:tentative="1">
      <w:start w:val="1"/>
      <w:numFmt w:val="decimal"/>
      <w:lvlText w:val="%9."/>
      <w:lvlJc w:val="left"/>
      <w:pPr>
        <w:tabs>
          <w:tab w:val="num" w:pos="6480"/>
        </w:tabs>
        <w:ind w:left="6480" w:hanging="360"/>
      </w:pPr>
    </w:lvl>
  </w:abstractNum>
  <w:abstractNum w:abstractNumId="1" w15:restartNumberingAfterBreak="0">
    <w:nsid w:val="14924A7A"/>
    <w:multiLevelType w:val="multilevel"/>
    <w:tmpl w:val="17F220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FF4BAC"/>
    <w:multiLevelType w:val="hybridMultilevel"/>
    <w:tmpl w:val="AF3AE6B6"/>
    <w:lvl w:ilvl="0" w:tplc="5A060BD8">
      <w:start w:val="1"/>
      <w:numFmt w:val="lowerLetter"/>
      <w:lvlText w:val="%1)"/>
      <w:lvlJc w:val="left"/>
      <w:pPr>
        <w:ind w:left="775" w:hanging="360"/>
      </w:pPr>
      <w:rPr>
        <w:rFonts w:hint="default"/>
        <w:b/>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3" w15:restartNumberingAfterBreak="0">
    <w:nsid w:val="1A086B17"/>
    <w:multiLevelType w:val="hybridMultilevel"/>
    <w:tmpl w:val="63A65452"/>
    <w:lvl w:ilvl="0" w:tplc="1F22C296">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F8257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0919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D6313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BC79F8">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8DEF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16C76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D43BF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B4A5F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98156F"/>
    <w:multiLevelType w:val="hybridMultilevel"/>
    <w:tmpl w:val="D7080114"/>
    <w:lvl w:ilvl="0" w:tplc="A2307528">
      <w:start w:val="1"/>
      <w:numFmt w:val="lowerLetter"/>
      <w:lvlText w:val="%1)"/>
      <w:lvlJc w:val="left"/>
      <w:pPr>
        <w:ind w:left="1080" w:hanging="360"/>
      </w:pPr>
      <w:rPr>
        <w:rFonts w:hint="default"/>
        <w:b w:val="0"/>
        <w:sz w:val="20"/>
        <w:szCs w:val="20"/>
      </w:rPr>
    </w:lvl>
    <w:lvl w:ilvl="1" w:tplc="AC42FD7C">
      <w:numFmt w:val="bullet"/>
      <w:lvlText w:val="•"/>
      <w:lvlJc w:val="left"/>
      <w:pPr>
        <w:ind w:left="2460" w:hanging="720"/>
      </w:pPr>
      <w:rPr>
        <w:rFonts w:ascii="Arial" w:eastAsia="Calibri" w:hAnsi="Arial" w:cs="Arial" w:hint="default"/>
      </w:r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 w15:restartNumberingAfterBreak="0">
    <w:nsid w:val="1E7A701E"/>
    <w:multiLevelType w:val="hybridMultilevel"/>
    <w:tmpl w:val="06C8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C5733"/>
    <w:multiLevelType w:val="multilevel"/>
    <w:tmpl w:val="17F220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1594B"/>
    <w:multiLevelType w:val="multilevel"/>
    <w:tmpl w:val="61EAC9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075E87"/>
    <w:multiLevelType w:val="hybridMultilevel"/>
    <w:tmpl w:val="5E2C194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287E1B30"/>
    <w:multiLevelType w:val="hybridMultilevel"/>
    <w:tmpl w:val="9FC4B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C15B0D"/>
    <w:multiLevelType w:val="hybridMultilevel"/>
    <w:tmpl w:val="2FF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473CB"/>
    <w:multiLevelType w:val="hybridMultilevel"/>
    <w:tmpl w:val="B3845F46"/>
    <w:lvl w:ilvl="0" w:tplc="5A060BD8">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C9D5D09"/>
    <w:multiLevelType w:val="hybridMultilevel"/>
    <w:tmpl w:val="5778EEC2"/>
    <w:lvl w:ilvl="0" w:tplc="4FF287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41729C"/>
    <w:multiLevelType w:val="multilevel"/>
    <w:tmpl w:val="17F220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521887"/>
    <w:multiLevelType w:val="hybridMultilevel"/>
    <w:tmpl w:val="6C5A1E14"/>
    <w:lvl w:ilvl="0" w:tplc="2D7EA8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F4D9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AF2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4096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8BF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DCBC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6664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1C73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42A9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BB3629"/>
    <w:multiLevelType w:val="hybridMultilevel"/>
    <w:tmpl w:val="03B8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52D63"/>
    <w:multiLevelType w:val="multilevel"/>
    <w:tmpl w:val="E17E5E38"/>
    <w:lvl w:ilvl="0">
      <w:start w:val="1"/>
      <w:numFmt w:val="decimal"/>
      <w:pStyle w:val="Heading1"/>
      <w:lvlText w:val="%1."/>
      <w:lvlJc w:val="left"/>
      <w:pPr>
        <w:ind w:left="0"/>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365F91"/>
        <w:sz w:val="20"/>
        <w:szCs w:val="20"/>
        <w:u w:val="none" w:color="000000"/>
        <w:bdr w:val="none" w:sz="0" w:space="0" w:color="auto"/>
        <w:shd w:val="clear" w:color="auto" w:fill="auto"/>
        <w:vertAlign w:val="baseline"/>
      </w:rPr>
    </w:lvl>
  </w:abstractNum>
  <w:abstractNum w:abstractNumId="17" w15:restartNumberingAfterBreak="0">
    <w:nsid w:val="6264538B"/>
    <w:multiLevelType w:val="hybridMultilevel"/>
    <w:tmpl w:val="3BE2BF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6504FE"/>
    <w:multiLevelType w:val="hybridMultilevel"/>
    <w:tmpl w:val="70CA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E7878"/>
    <w:multiLevelType w:val="hybridMultilevel"/>
    <w:tmpl w:val="27484784"/>
    <w:lvl w:ilvl="0" w:tplc="C1FC824C">
      <w:start w:val="1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E1216"/>
    <w:multiLevelType w:val="hybridMultilevel"/>
    <w:tmpl w:val="ED34891C"/>
    <w:lvl w:ilvl="0" w:tplc="7BAA903A">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E8FC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540E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48257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66D1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2A8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2CBAB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0CFD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80FBA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3"/>
  </w:num>
  <w:num w:numId="3">
    <w:abstractNumId w:val="12"/>
  </w:num>
  <w:num w:numId="4">
    <w:abstractNumId w:val="15"/>
  </w:num>
  <w:num w:numId="5">
    <w:abstractNumId w:val="6"/>
  </w:num>
  <w:num w:numId="6">
    <w:abstractNumId w:val="1"/>
  </w:num>
  <w:num w:numId="7">
    <w:abstractNumId w:val="9"/>
  </w:num>
  <w:num w:numId="8">
    <w:abstractNumId w:val="7"/>
  </w:num>
  <w:num w:numId="9">
    <w:abstractNumId w:val="20"/>
  </w:num>
  <w:num w:numId="10">
    <w:abstractNumId w:val="14"/>
  </w:num>
  <w:num w:numId="11">
    <w:abstractNumId w:val="3"/>
  </w:num>
  <w:num w:numId="12">
    <w:abstractNumId w:val="16"/>
  </w:num>
  <w:num w:numId="13">
    <w:abstractNumId w:val="5"/>
  </w:num>
  <w:num w:numId="14">
    <w:abstractNumId w:val="19"/>
  </w:num>
  <w:num w:numId="15">
    <w:abstractNumId w:val="8"/>
  </w:num>
  <w:num w:numId="16">
    <w:abstractNumId w:val="11"/>
  </w:num>
  <w:num w:numId="17">
    <w:abstractNumId w:val="2"/>
  </w:num>
  <w:num w:numId="18">
    <w:abstractNumId w:val="10"/>
  </w:num>
  <w:num w:numId="19">
    <w:abstractNumId w:val="4"/>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B2"/>
    <w:rsid w:val="000015ED"/>
    <w:rsid w:val="00003CA6"/>
    <w:rsid w:val="000118B9"/>
    <w:rsid w:val="00015E4D"/>
    <w:rsid w:val="000203BC"/>
    <w:rsid w:val="0002094A"/>
    <w:rsid w:val="000235EB"/>
    <w:rsid w:val="00026507"/>
    <w:rsid w:val="00030292"/>
    <w:rsid w:val="00033158"/>
    <w:rsid w:val="00037906"/>
    <w:rsid w:val="00041995"/>
    <w:rsid w:val="00044F26"/>
    <w:rsid w:val="00052C1A"/>
    <w:rsid w:val="0005338A"/>
    <w:rsid w:val="0006007A"/>
    <w:rsid w:val="00061654"/>
    <w:rsid w:val="00061F65"/>
    <w:rsid w:val="00064856"/>
    <w:rsid w:val="0006500F"/>
    <w:rsid w:val="00065F30"/>
    <w:rsid w:val="00066753"/>
    <w:rsid w:val="000715CF"/>
    <w:rsid w:val="00072040"/>
    <w:rsid w:val="00073E75"/>
    <w:rsid w:val="00073F1E"/>
    <w:rsid w:val="00074675"/>
    <w:rsid w:val="00077902"/>
    <w:rsid w:val="00081E86"/>
    <w:rsid w:val="000873F1"/>
    <w:rsid w:val="00087A0A"/>
    <w:rsid w:val="00087EB3"/>
    <w:rsid w:val="00090218"/>
    <w:rsid w:val="00091073"/>
    <w:rsid w:val="00093F6A"/>
    <w:rsid w:val="00096957"/>
    <w:rsid w:val="00097E51"/>
    <w:rsid w:val="000A6404"/>
    <w:rsid w:val="000B0B7B"/>
    <w:rsid w:val="000B4F65"/>
    <w:rsid w:val="000B75C3"/>
    <w:rsid w:val="000C2A29"/>
    <w:rsid w:val="000C2A38"/>
    <w:rsid w:val="000C3403"/>
    <w:rsid w:val="000C5831"/>
    <w:rsid w:val="000C5A94"/>
    <w:rsid w:val="000C7813"/>
    <w:rsid w:val="000D1272"/>
    <w:rsid w:val="000D1954"/>
    <w:rsid w:val="000D21E1"/>
    <w:rsid w:val="000E0257"/>
    <w:rsid w:val="000E1705"/>
    <w:rsid w:val="000E426C"/>
    <w:rsid w:val="000E6BC0"/>
    <w:rsid w:val="000F164A"/>
    <w:rsid w:val="000F5253"/>
    <w:rsid w:val="001042BA"/>
    <w:rsid w:val="00111531"/>
    <w:rsid w:val="00121335"/>
    <w:rsid w:val="00121728"/>
    <w:rsid w:val="00125799"/>
    <w:rsid w:val="00136B59"/>
    <w:rsid w:val="00153BF0"/>
    <w:rsid w:val="00156994"/>
    <w:rsid w:val="001579F8"/>
    <w:rsid w:val="00161B32"/>
    <w:rsid w:val="00164EB9"/>
    <w:rsid w:val="001717B4"/>
    <w:rsid w:val="001739A6"/>
    <w:rsid w:val="00175A4E"/>
    <w:rsid w:val="001801F3"/>
    <w:rsid w:val="00181A9B"/>
    <w:rsid w:val="001837E5"/>
    <w:rsid w:val="00185A7C"/>
    <w:rsid w:val="00190E39"/>
    <w:rsid w:val="00193E1B"/>
    <w:rsid w:val="0019795B"/>
    <w:rsid w:val="001A14BF"/>
    <w:rsid w:val="001A29F2"/>
    <w:rsid w:val="001A3B9A"/>
    <w:rsid w:val="001A43CD"/>
    <w:rsid w:val="001B5294"/>
    <w:rsid w:val="001C2EE2"/>
    <w:rsid w:val="001C7ED3"/>
    <w:rsid w:val="001D1512"/>
    <w:rsid w:val="001D412A"/>
    <w:rsid w:val="001D4539"/>
    <w:rsid w:val="001D46A5"/>
    <w:rsid w:val="001D795F"/>
    <w:rsid w:val="001E4241"/>
    <w:rsid w:val="001E621E"/>
    <w:rsid w:val="001F077A"/>
    <w:rsid w:val="001F33B6"/>
    <w:rsid w:val="00205902"/>
    <w:rsid w:val="00205B96"/>
    <w:rsid w:val="002076FE"/>
    <w:rsid w:val="00207BAF"/>
    <w:rsid w:val="00207E90"/>
    <w:rsid w:val="00211696"/>
    <w:rsid w:val="00222E03"/>
    <w:rsid w:val="002249F5"/>
    <w:rsid w:val="0022732E"/>
    <w:rsid w:val="00236EC1"/>
    <w:rsid w:val="002409AC"/>
    <w:rsid w:val="00242778"/>
    <w:rsid w:val="00246BCA"/>
    <w:rsid w:val="00251AEF"/>
    <w:rsid w:val="0025640C"/>
    <w:rsid w:val="00265F32"/>
    <w:rsid w:val="00267D23"/>
    <w:rsid w:val="00270E66"/>
    <w:rsid w:val="0027224C"/>
    <w:rsid w:val="00273B7B"/>
    <w:rsid w:val="002750DC"/>
    <w:rsid w:val="00275736"/>
    <w:rsid w:val="0027599D"/>
    <w:rsid w:val="00277AEA"/>
    <w:rsid w:val="002871FE"/>
    <w:rsid w:val="002A2FCF"/>
    <w:rsid w:val="002A491E"/>
    <w:rsid w:val="002B4EFC"/>
    <w:rsid w:val="002B7FEF"/>
    <w:rsid w:val="002C0A50"/>
    <w:rsid w:val="002C158A"/>
    <w:rsid w:val="002E6B80"/>
    <w:rsid w:val="002F0B2A"/>
    <w:rsid w:val="002F7166"/>
    <w:rsid w:val="00304229"/>
    <w:rsid w:val="00304233"/>
    <w:rsid w:val="0030491A"/>
    <w:rsid w:val="00310FE3"/>
    <w:rsid w:val="0031417D"/>
    <w:rsid w:val="00314CC0"/>
    <w:rsid w:val="0031505E"/>
    <w:rsid w:val="003176FF"/>
    <w:rsid w:val="00322F30"/>
    <w:rsid w:val="00323447"/>
    <w:rsid w:val="0033189D"/>
    <w:rsid w:val="0033438F"/>
    <w:rsid w:val="00343618"/>
    <w:rsid w:val="003440DB"/>
    <w:rsid w:val="00344ECC"/>
    <w:rsid w:val="00355381"/>
    <w:rsid w:val="0036233F"/>
    <w:rsid w:val="0036356C"/>
    <w:rsid w:val="0036597F"/>
    <w:rsid w:val="00372B24"/>
    <w:rsid w:val="00381811"/>
    <w:rsid w:val="00390C29"/>
    <w:rsid w:val="003951AA"/>
    <w:rsid w:val="00397AE0"/>
    <w:rsid w:val="003A0DA9"/>
    <w:rsid w:val="003A15DE"/>
    <w:rsid w:val="003A3DAE"/>
    <w:rsid w:val="003A406A"/>
    <w:rsid w:val="003A59D2"/>
    <w:rsid w:val="003A783E"/>
    <w:rsid w:val="003B2173"/>
    <w:rsid w:val="003B5C52"/>
    <w:rsid w:val="003B60B3"/>
    <w:rsid w:val="003B6677"/>
    <w:rsid w:val="003B69F2"/>
    <w:rsid w:val="003C1709"/>
    <w:rsid w:val="003C2A8F"/>
    <w:rsid w:val="003C35C6"/>
    <w:rsid w:val="003C4BA5"/>
    <w:rsid w:val="003C5C0A"/>
    <w:rsid w:val="003C62EB"/>
    <w:rsid w:val="003C659F"/>
    <w:rsid w:val="003D1904"/>
    <w:rsid w:val="003D3187"/>
    <w:rsid w:val="003D3D67"/>
    <w:rsid w:val="003E1675"/>
    <w:rsid w:val="003E28B5"/>
    <w:rsid w:val="003E2FC1"/>
    <w:rsid w:val="003E4226"/>
    <w:rsid w:val="003E76B2"/>
    <w:rsid w:val="003F1E67"/>
    <w:rsid w:val="003F2F08"/>
    <w:rsid w:val="003F3C48"/>
    <w:rsid w:val="003F4B31"/>
    <w:rsid w:val="003F4CE6"/>
    <w:rsid w:val="003F59E2"/>
    <w:rsid w:val="003F698A"/>
    <w:rsid w:val="00400F72"/>
    <w:rsid w:val="00402003"/>
    <w:rsid w:val="00404AAC"/>
    <w:rsid w:val="004071A7"/>
    <w:rsid w:val="00412BA9"/>
    <w:rsid w:val="0041487B"/>
    <w:rsid w:val="0041693E"/>
    <w:rsid w:val="00417D79"/>
    <w:rsid w:val="00423F5E"/>
    <w:rsid w:val="00424928"/>
    <w:rsid w:val="004304D0"/>
    <w:rsid w:val="00435F70"/>
    <w:rsid w:val="00445103"/>
    <w:rsid w:val="00451E31"/>
    <w:rsid w:val="0045348F"/>
    <w:rsid w:val="00455160"/>
    <w:rsid w:val="00456B9A"/>
    <w:rsid w:val="00464269"/>
    <w:rsid w:val="00464CA1"/>
    <w:rsid w:val="00472239"/>
    <w:rsid w:val="0047254C"/>
    <w:rsid w:val="00473FB3"/>
    <w:rsid w:val="004769B9"/>
    <w:rsid w:val="00480ABC"/>
    <w:rsid w:val="004844FE"/>
    <w:rsid w:val="0049243E"/>
    <w:rsid w:val="0049297F"/>
    <w:rsid w:val="0049325B"/>
    <w:rsid w:val="00493E99"/>
    <w:rsid w:val="0049459C"/>
    <w:rsid w:val="004947F7"/>
    <w:rsid w:val="00495B4E"/>
    <w:rsid w:val="004A439C"/>
    <w:rsid w:val="004B154F"/>
    <w:rsid w:val="004B2C32"/>
    <w:rsid w:val="004B2C61"/>
    <w:rsid w:val="004B60DD"/>
    <w:rsid w:val="004B7CC2"/>
    <w:rsid w:val="004C3739"/>
    <w:rsid w:val="004C392A"/>
    <w:rsid w:val="004C3DC3"/>
    <w:rsid w:val="004C6271"/>
    <w:rsid w:val="004C6A4D"/>
    <w:rsid w:val="004D2698"/>
    <w:rsid w:val="004D284A"/>
    <w:rsid w:val="004D52DE"/>
    <w:rsid w:val="004D7442"/>
    <w:rsid w:val="004E1988"/>
    <w:rsid w:val="004E3F43"/>
    <w:rsid w:val="004E5805"/>
    <w:rsid w:val="004E6000"/>
    <w:rsid w:val="004E6B06"/>
    <w:rsid w:val="004E7203"/>
    <w:rsid w:val="004F0CCF"/>
    <w:rsid w:val="004F3A30"/>
    <w:rsid w:val="004F608E"/>
    <w:rsid w:val="004F78E3"/>
    <w:rsid w:val="00510234"/>
    <w:rsid w:val="005103BC"/>
    <w:rsid w:val="00511FE4"/>
    <w:rsid w:val="0051695F"/>
    <w:rsid w:val="00525308"/>
    <w:rsid w:val="00525AAE"/>
    <w:rsid w:val="00525D29"/>
    <w:rsid w:val="00526EA6"/>
    <w:rsid w:val="00540FD3"/>
    <w:rsid w:val="00541369"/>
    <w:rsid w:val="00542211"/>
    <w:rsid w:val="005453A6"/>
    <w:rsid w:val="005548DB"/>
    <w:rsid w:val="00556D87"/>
    <w:rsid w:val="00561C00"/>
    <w:rsid w:val="00563E36"/>
    <w:rsid w:val="005641D4"/>
    <w:rsid w:val="00573FFF"/>
    <w:rsid w:val="005758C5"/>
    <w:rsid w:val="00576C1E"/>
    <w:rsid w:val="00582821"/>
    <w:rsid w:val="00582DEA"/>
    <w:rsid w:val="00586A95"/>
    <w:rsid w:val="005919F4"/>
    <w:rsid w:val="00591B2F"/>
    <w:rsid w:val="005A00F4"/>
    <w:rsid w:val="005A2C73"/>
    <w:rsid w:val="005B520C"/>
    <w:rsid w:val="005C1DCA"/>
    <w:rsid w:val="005D0994"/>
    <w:rsid w:val="005D3E22"/>
    <w:rsid w:val="005E19AE"/>
    <w:rsid w:val="005E2A95"/>
    <w:rsid w:val="006001F8"/>
    <w:rsid w:val="006044FF"/>
    <w:rsid w:val="006078D1"/>
    <w:rsid w:val="006110D3"/>
    <w:rsid w:val="00630137"/>
    <w:rsid w:val="00640B34"/>
    <w:rsid w:val="00642E33"/>
    <w:rsid w:val="0064486A"/>
    <w:rsid w:val="00647F82"/>
    <w:rsid w:val="00667E04"/>
    <w:rsid w:val="00671BA9"/>
    <w:rsid w:val="00671F7E"/>
    <w:rsid w:val="00673263"/>
    <w:rsid w:val="006740FA"/>
    <w:rsid w:val="00674CA0"/>
    <w:rsid w:val="006757BB"/>
    <w:rsid w:val="006917AC"/>
    <w:rsid w:val="00691C6B"/>
    <w:rsid w:val="0069264D"/>
    <w:rsid w:val="00693382"/>
    <w:rsid w:val="00695C44"/>
    <w:rsid w:val="00697B35"/>
    <w:rsid w:val="006A52C9"/>
    <w:rsid w:val="006B5E59"/>
    <w:rsid w:val="006C1CB9"/>
    <w:rsid w:val="006C3226"/>
    <w:rsid w:val="006C36F2"/>
    <w:rsid w:val="006C3B0F"/>
    <w:rsid w:val="006C5287"/>
    <w:rsid w:val="006C58D8"/>
    <w:rsid w:val="006C5C32"/>
    <w:rsid w:val="006D5C08"/>
    <w:rsid w:val="006D6C7D"/>
    <w:rsid w:val="006E2F67"/>
    <w:rsid w:val="006E632D"/>
    <w:rsid w:val="006F06D1"/>
    <w:rsid w:val="006F1FA9"/>
    <w:rsid w:val="006F50ED"/>
    <w:rsid w:val="00700BC5"/>
    <w:rsid w:val="0070343F"/>
    <w:rsid w:val="00714082"/>
    <w:rsid w:val="00714D85"/>
    <w:rsid w:val="00717CE5"/>
    <w:rsid w:val="00727697"/>
    <w:rsid w:val="007300B2"/>
    <w:rsid w:val="00730DFF"/>
    <w:rsid w:val="0073272F"/>
    <w:rsid w:val="00734C38"/>
    <w:rsid w:val="00750213"/>
    <w:rsid w:val="00754BE1"/>
    <w:rsid w:val="0075639B"/>
    <w:rsid w:val="00763DFD"/>
    <w:rsid w:val="00765380"/>
    <w:rsid w:val="0076727F"/>
    <w:rsid w:val="00786E81"/>
    <w:rsid w:val="007A76A7"/>
    <w:rsid w:val="007B4C73"/>
    <w:rsid w:val="007B656F"/>
    <w:rsid w:val="007D2F9E"/>
    <w:rsid w:val="007D4FC9"/>
    <w:rsid w:val="007E3560"/>
    <w:rsid w:val="007E688E"/>
    <w:rsid w:val="007E7B01"/>
    <w:rsid w:val="007F4DFC"/>
    <w:rsid w:val="007F5A88"/>
    <w:rsid w:val="007F679E"/>
    <w:rsid w:val="007F6A26"/>
    <w:rsid w:val="007F72A7"/>
    <w:rsid w:val="00800119"/>
    <w:rsid w:val="00802E96"/>
    <w:rsid w:val="008030BA"/>
    <w:rsid w:val="00803258"/>
    <w:rsid w:val="008052C9"/>
    <w:rsid w:val="00806A0B"/>
    <w:rsid w:val="0080709B"/>
    <w:rsid w:val="0080746B"/>
    <w:rsid w:val="00807DEE"/>
    <w:rsid w:val="008137CD"/>
    <w:rsid w:val="008176F7"/>
    <w:rsid w:val="008244BB"/>
    <w:rsid w:val="0082606E"/>
    <w:rsid w:val="00826C91"/>
    <w:rsid w:val="00832D65"/>
    <w:rsid w:val="0083476D"/>
    <w:rsid w:val="00837EE3"/>
    <w:rsid w:val="0084105A"/>
    <w:rsid w:val="00860897"/>
    <w:rsid w:val="008621D1"/>
    <w:rsid w:val="00862A4A"/>
    <w:rsid w:val="008643F7"/>
    <w:rsid w:val="00867586"/>
    <w:rsid w:val="00876B73"/>
    <w:rsid w:val="008A2E9B"/>
    <w:rsid w:val="008A326F"/>
    <w:rsid w:val="008A4AFB"/>
    <w:rsid w:val="008B5642"/>
    <w:rsid w:val="008C16A3"/>
    <w:rsid w:val="008C1DCD"/>
    <w:rsid w:val="008C33FD"/>
    <w:rsid w:val="008C463E"/>
    <w:rsid w:val="008C67FC"/>
    <w:rsid w:val="008D085B"/>
    <w:rsid w:val="008D31C5"/>
    <w:rsid w:val="008E5CA2"/>
    <w:rsid w:val="008E6D6A"/>
    <w:rsid w:val="008F227B"/>
    <w:rsid w:val="008F2358"/>
    <w:rsid w:val="00901405"/>
    <w:rsid w:val="00901A95"/>
    <w:rsid w:val="00904A13"/>
    <w:rsid w:val="00906A57"/>
    <w:rsid w:val="00914543"/>
    <w:rsid w:val="00916048"/>
    <w:rsid w:val="00921CA2"/>
    <w:rsid w:val="009277C5"/>
    <w:rsid w:val="00955C8E"/>
    <w:rsid w:val="00963F52"/>
    <w:rsid w:val="009666CB"/>
    <w:rsid w:val="00970898"/>
    <w:rsid w:val="0098089D"/>
    <w:rsid w:val="00984D52"/>
    <w:rsid w:val="00991D0A"/>
    <w:rsid w:val="009A612A"/>
    <w:rsid w:val="009A6457"/>
    <w:rsid w:val="009B3523"/>
    <w:rsid w:val="009B40EF"/>
    <w:rsid w:val="009B76C1"/>
    <w:rsid w:val="009C231F"/>
    <w:rsid w:val="009C3E54"/>
    <w:rsid w:val="009D18D7"/>
    <w:rsid w:val="009D36E6"/>
    <w:rsid w:val="009D6018"/>
    <w:rsid w:val="009D679C"/>
    <w:rsid w:val="009E286D"/>
    <w:rsid w:val="009E674A"/>
    <w:rsid w:val="009E72CE"/>
    <w:rsid w:val="009F4B12"/>
    <w:rsid w:val="00A06496"/>
    <w:rsid w:val="00A06783"/>
    <w:rsid w:val="00A12B40"/>
    <w:rsid w:val="00A16916"/>
    <w:rsid w:val="00A22C3A"/>
    <w:rsid w:val="00A22EDE"/>
    <w:rsid w:val="00A2518C"/>
    <w:rsid w:val="00A33693"/>
    <w:rsid w:val="00A33BB3"/>
    <w:rsid w:val="00A35782"/>
    <w:rsid w:val="00A40C51"/>
    <w:rsid w:val="00A419F6"/>
    <w:rsid w:val="00A442E1"/>
    <w:rsid w:val="00A44C8D"/>
    <w:rsid w:val="00A45646"/>
    <w:rsid w:val="00A504E5"/>
    <w:rsid w:val="00A5549E"/>
    <w:rsid w:val="00A620BD"/>
    <w:rsid w:val="00A655D2"/>
    <w:rsid w:val="00A67A95"/>
    <w:rsid w:val="00A70964"/>
    <w:rsid w:val="00A70A2D"/>
    <w:rsid w:val="00A76213"/>
    <w:rsid w:val="00A90042"/>
    <w:rsid w:val="00A92464"/>
    <w:rsid w:val="00A9670C"/>
    <w:rsid w:val="00AA3323"/>
    <w:rsid w:val="00AB6FC4"/>
    <w:rsid w:val="00AC31ED"/>
    <w:rsid w:val="00AC67A8"/>
    <w:rsid w:val="00AD236F"/>
    <w:rsid w:val="00AE0D53"/>
    <w:rsid w:val="00AE28AB"/>
    <w:rsid w:val="00AF1557"/>
    <w:rsid w:val="00AF64E6"/>
    <w:rsid w:val="00B0100E"/>
    <w:rsid w:val="00B029F1"/>
    <w:rsid w:val="00B110FB"/>
    <w:rsid w:val="00B169EF"/>
    <w:rsid w:val="00B20521"/>
    <w:rsid w:val="00B209C1"/>
    <w:rsid w:val="00B23B1A"/>
    <w:rsid w:val="00B26975"/>
    <w:rsid w:val="00B32DAE"/>
    <w:rsid w:val="00B34EF0"/>
    <w:rsid w:val="00B361D2"/>
    <w:rsid w:val="00B37AD6"/>
    <w:rsid w:val="00B52F93"/>
    <w:rsid w:val="00B62CC3"/>
    <w:rsid w:val="00B641B9"/>
    <w:rsid w:val="00B651E5"/>
    <w:rsid w:val="00B72979"/>
    <w:rsid w:val="00B76217"/>
    <w:rsid w:val="00B85E67"/>
    <w:rsid w:val="00B8765F"/>
    <w:rsid w:val="00B9115F"/>
    <w:rsid w:val="00B935FC"/>
    <w:rsid w:val="00B9377D"/>
    <w:rsid w:val="00B95567"/>
    <w:rsid w:val="00BA05B7"/>
    <w:rsid w:val="00BA2FC7"/>
    <w:rsid w:val="00BA7B95"/>
    <w:rsid w:val="00BD4D7F"/>
    <w:rsid w:val="00BD57B2"/>
    <w:rsid w:val="00BD741A"/>
    <w:rsid w:val="00BE127C"/>
    <w:rsid w:val="00BE5296"/>
    <w:rsid w:val="00BE66EA"/>
    <w:rsid w:val="00BF4D72"/>
    <w:rsid w:val="00C0562C"/>
    <w:rsid w:val="00C14976"/>
    <w:rsid w:val="00C15634"/>
    <w:rsid w:val="00C218E7"/>
    <w:rsid w:val="00C23CAE"/>
    <w:rsid w:val="00C345C7"/>
    <w:rsid w:val="00C41277"/>
    <w:rsid w:val="00C43227"/>
    <w:rsid w:val="00C51EDD"/>
    <w:rsid w:val="00C55819"/>
    <w:rsid w:val="00C56021"/>
    <w:rsid w:val="00C622C0"/>
    <w:rsid w:val="00C63FED"/>
    <w:rsid w:val="00C6595A"/>
    <w:rsid w:val="00C662D0"/>
    <w:rsid w:val="00C72D54"/>
    <w:rsid w:val="00C858D1"/>
    <w:rsid w:val="00C8654A"/>
    <w:rsid w:val="00C934F3"/>
    <w:rsid w:val="00C95102"/>
    <w:rsid w:val="00C95C67"/>
    <w:rsid w:val="00CA2106"/>
    <w:rsid w:val="00CA44EF"/>
    <w:rsid w:val="00CB007F"/>
    <w:rsid w:val="00CB061D"/>
    <w:rsid w:val="00CB2178"/>
    <w:rsid w:val="00CB3128"/>
    <w:rsid w:val="00CB4407"/>
    <w:rsid w:val="00CC14B9"/>
    <w:rsid w:val="00CC36A9"/>
    <w:rsid w:val="00CC41F6"/>
    <w:rsid w:val="00CC4801"/>
    <w:rsid w:val="00CD147C"/>
    <w:rsid w:val="00CD2442"/>
    <w:rsid w:val="00CD26B5"/>
    <w:rsid w:val="00CD27FB"/>
    <w:rsid w:val="00CD3546"/>
    <w:rsid w:val="00CF09A0"/>
    <w:rsid w:val="00CF4F13"/>
    <w:rsid w:val="00CF5E91"/>
    <w:rsid w:val="00D0154D"/>
    <w:rsid w:val="00D04C10"/>
    <w:rsid w:val="00D0526B"/>
    <w:rsid w:val="00D07474"/>
    <w:rsid w:val="00D074A4"/>
    <w:rsid w:val="00D15F91"/>
    <w:rsid w:val="00D21D00"/>
    <w:rsid w:val="00D23EC5"/>
    <w:rsid w:val="00D32449"/>
    <w:rsid w:val="00D402FC"/>
    <w:rsid w:val="00D447CF"/>
    <w:rsid w:val="00D47FEC"/>
    <w:rsid w:val="00D5503F"/>
    <w:rsid w:val="00D60BEB"/>
    <w:rsid w:val="00D62C15"/>
    <w:rsid w:val="00D659AD"/>
    <w:rsid w:val="00D70E33"/>
    <w:rsid w:val="00D855CD"/>
    <w:rsid w:val="00D96BF0"/>
    <w:rsid w:val="00DA4B9A"/>
    <w:rsid w:val="00DB42AE"/>
    <w:rsid w:val="00DB77E4"/>
    <w:rsid w:val="00DB7C1E"/>
    <w:rsid w:val="00DC6336"/>
    <w:rsid w:val="00DD55C1"/>
    <w:rsid w:val="00DD64B3"/>
    <w:rsid w:val="00DF0CB3"/>
    <w:rsid w:val="00DF4817"/>
    <w:rsid w:val="00DF4B81"/>
    <w:rsid w:val="00E110D2"/>
    <w:rsid w:val="00E1191D"/>
    <w:rsid w:val="00E16218"/>
    <w:rsid w:val="00E33F79"/>
    <w:rsid w:val="00E419E9"/>
    <w:rsid w:val="00E426CE"/>
    <w:rsid w:val="00E44757"/>
    <w:rsid w:val="00E44E14"/>
    <w:rsid w:val="00E47AA0"/>
    <w:rsid w:val="00E55B84"/>
    <w:rsid w:val="00E60C85"/>
    <w:rsid w:val="00E63643"/>
    <w:rsid w:val="00E6475D"/>
    <w:rsid w:val="00E718D3"/>
    <w:rsid w:val="00E71ED0"/>
    <w:rsid w:val="00E72468"/>
    <w:rsid w:val="00E74CF0"/>
    <w:rsid w:val="00E778D7"/>
    <w:rsid w:val="00E80D90"/>
    <w:rsid w:val="00E84238"/>
    <w:rsid w:val="00E86A36"/>
    <w:rsid w:val="00EA4BE5"/>
    <w:rsid w:val="00EA7BF3"/>
    <w:rsid w:val="00EB30B2"/>
    <w:rsid w:val="00EB3E4D"/>
    <w:rsid w:val="00EB5F93"/>
    <w:rsid w:val="00EC09C2"/>
    <w:rsid w:val="00EC3DB3"/>
    <w:rsid w:val="00EC7C0E"/>
    <w:rsid w:val="00EE0DA5"/>
    <w:rsid w:val="00EE5E2A"/>
    <w:rsid w:val="00EF2F0B"/>
    <w:rsid w:val="00EF39F7"/>
    <w:rsid w:val="00EF576E"/>
    <w:rsid w:val="00F01CB0"/>
    <w:rsid w:val="00F142AD"/>
    <w:rsid w:val="00F2089F"/>
    <w:rsid w:val="00F237B5"/>
    <w:rsid w:val="00F26F90"/>
    <w:rsid w:val="00F305C2"/>
    <w:rsid w:val="00F4202D"/>
    <w:rsid w:val="00F42806"/>
    <w:rsid w:val="00F46FC4"/>
    <w:rsid w:val="00F4787B"/>
    <w:rsid w:val="00F47C88"/>
    <w:rsid w:val="00F54494"/>
    <w:rsid w:val="00F564FE"/>
    <w:rsid w:val="00F572A5"/>
    <w:rsid w:val="00F57E03"/>
    <w:rsid w:val="00F614E8"/>
    <w:rsid w:val="00F61837"/>
    <w:rsid w:val="00F62387"/>
    <w:rsid w:val="00F665A6"/>
    <w:rsid w:val="00F67E1D"/>
    <w:rsid w:val="00F70E4D"/>
    <w:rsid w:val="00F74ADF"/>
    <w:rsid w:val="00F8139E"/>
    <w:rsid w:val="00F915CD"/>
    <w:rsid w:val="00F922EE"/>
    <w:rsid w:val="00F953D7"/>
    <w:rsid w:val="00FA2EDF"/>
    <w:rsid w:val="00FA5769"/>
    <w:rsid w:val="00FA653C"/>
    <w:rsid w:val="00FB0941"/>
    <w:rsid w:val="00FB797F"/>
    <w:rsid w:val="00FB7F23"/>
    <w:rsid w:val="00FC164F"/>
    <w:rsid w:val="00FC19F3"/>
    <w:rsid w:val="00FC5B54"/>
    <w:rsid w:val="00FC6158"/>
    <w:rsid w:val="00FD18FB"/>
    <w:rsid w:val="00FE0A0A"/>
    <w:rsid w:val="00FE11D7"/>
    <w:rsid w:val="00FE63B2"/>
    <w:rsid w:val="00FF2822"/>
    <w:rsid w:val="00FF2BDB"/>
    <w:rsid w:val="00FF3B68"/>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9A30"/>
  <w15:chartTrackingRefBased/>
  <w15:docId w15:val="{02C58802-0DC2-4F42-AB03-7FA46B78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E76B2"/>
    <w:pPr>
      <w:suppressAutoHyphens/>
      <w:autoSpaceDN w:val="0"/>
      <w:textAlignment w:val="baseline"/>
    </w:pPr>
    <w:rPr>
      <w:rFonts w:ascii="Calibri" w:eastAsia="Calibri" w:hAnsi="Calibri" w:cs="Times New Roman"/>
      <w:lang w:val="en-GB"/>
    </w:rPr>
  </w:style>
  <w:style w:type="paragraph" w:styleId="Heading1">
    <w:name w:val="heading 1"/>
    <w:next w:val="Normal"/>
    <w:link w:val="Heading1Char"/>
    <w:uiPriority w:val="9"/>
    <w:unhideWhenUsed/>
    <w:qFormat/>
    <w:rsid w:val="00081E86"/>
    <w:pPr>
      <w:keepNext/>
      <w:keepLines/>
      <w:numPr>
        <w:numId w:val="12"/>
      </w:numPr>
      <w:spacing w:after="0" w:line="259" w:lineRule="auto"/>
      <w:ind w:left="10" w:hanging="10"/>
      <w:outlineLvl w:val="0"/>
    </w:pPr>
    <w:rPr>
      <w:rFonts w:ascii="Arial" w:eastAsia="Arial" w:hAnsi="Arial" w:cs="Arial"/>
      <w:b/>
      <w:color w:val="365F91"/>
      <w:sz w:val="20"/>
      <w:lang w:val="en-GB" w:eastAsia="en-GB"/>
    </w:rPr>
  </w:style>
  <w:style w:type="paragraph" w:styleId="Heading2">
    <w:name w:val="heading 2"/>
    <w:next w:val="Normal"/>
    <w:link w:val="Heading2Char"/>
    <w:uiPriority w:val="9"/>
    <w:unhideWhenUsed/>
    <w:qFormat/>
    <w:rsid w:val="00081E86"/>
    <w:pPr>
      <w:keepNext/>
      <w:keepLines/>
      <w:numPr>
        <w:ilvl w:val="1"/>
        <w:numId w:val="12"/>
      </w:numPr>
      <w:spacing w:after="0" w:line="259" w:lineRule="auto"/>
      <w:ind w:left="10" w:hanging="10"/>
      <w:outlineLvl w:val="1"/>
    </w:pPr>
    <w:rPr>
      <w:rFonts w:ascii="Arial" w:eastAsia="Arial" w:hAnsi="Arial" w:cs="Arial"/>
      <w:b/>
      <w:color w:val="365F91"/>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43618"/>
    <w:pPr>
      <w:spacing w:line="240" w:lineRule="auto"/>
    </w:pPr>
    <w:rPr>
      <w:sz w:val="20"/>
      <w:szCs w:val="20"/>
    </w:rPr>
  </w:style>
  <w:style w:type="character" w:customStyle="1" w:styleId="CommentTextChar">
    <w:name w:val="Comment Text Char"/>
    <w:basedOn w:val="DefaultParagraphFont"/>
    <w:link w:val="CommentText"/>
    <w:uiPriority w:val="99"/>
    <w:rsid w:val="00343618"/>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3C659F"/>
    <w:rPr>
      <w:sz w:val="16"/>
      <w:szCs w:val="16"/>
    </w:rPr>
  </w:style>
  <w:style w:type="paragraph" w:styleId="Header">
    <w:name w:val="header"/>
    <w:basedOn w:val="Normal"/>
    <w:link w:val="HeaderChar"/>
    <w:uiPriority w:val="99"/>
    <w:unhideWhenUsed/>
    <w:rsid w:val="00D2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D00"/>
    <w:rPr>
      <w:rFonts w:ascii="Calibri" w:eastAsia="Calibri" w:hAnsi="Calibri" w:cs="Times New Roman"/>
      <w:lang w:val="en-GB"/>
    </w:rPr>
  </w:style>
  <w:style w:type="paragraph" w:styleId="Footer">
    <w:name w:val="footer"/>
    <w:basedOn w:val="Normal"/>
    <w:link w:val="FooterChar"/>
    <w:uiPriority w:val="99"/>
    <w:unhideWhenUsed/>
    <w:rsid w:val="00D2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D00"/>
    <w:rPr>
      <w:rFonts w:ascii="Calibri" w:eastAsia="Calibri" w:hAnsi="Calibri" w:cs="Times New Roman"/>
      <w:lang w:val="en-GB"/>
    </w:rPr>
  </w:style>
  <w:style w:type="paragraph" w:styleId="ListParagraph">
    <w:name w:val="List Paragraph"/>
    <w:basedOn w:val="Normal"/>
    <w:uiPriority w:val="34"/>
    <w:qFormat/>
    <w:rsid w:val="004B60DD"/>
    <w:pPr>
      <w:ind w:left="720"/>
      <w:contextualSpacing/>
    </w:pPr>
  </w:style>
  <w:style w:type="character" w:styleId="Hyperlink">
    <w:name w:val="Hyperlink"/>
    <w:basedOn w:val="DefaultParagraphFont"/>
    <w:uiPriority w:val="99"/>
    <w:unhideWhenUsed/>
    <w:rsid w:val="009E674A"/>
    <w:rPr>
      <w:color w:val="0000FF"/>
      <w:u w:val="single"/>
    </w:rPr>
  </w:style>
  <w:style w:type="character" w:styleId="UnresolvedMention">
    <w:name w:val="Unresolved Mention"/>
    <w:basedOn w:val="DefaultParagraphFont"/>
    <w:uiPriority w:val="99"/>
    <w:semiHidden/>
    <w:unhideWhenUsed/>
    <w:rsid w:val="00FC6158"/>
    <w:rPr>
      <w:color w:val="808080"/>
      <w:shd w:val="clear" w:color="auto" w:fill="E6E6E6"/>
    </w:rPr>
  </w:style>
  <w:style w:type="character" w:customStyle="1" w:styleId="Heading1Char">
    <w:name w:val="Heading 1 Char"/>
    <w:basedOn w:val="DefaultParagraphFont"/>
    <w:link w:val="Heading1"/>
    <w:uiPriority w:val="9"/>
    <w:rsid w:val="00081E86"/>
    <w:rPr>
      <w:rFonts w:ascii="Arial" w:eastAsia="Arial" w:hAnsi="Arial" w:cs="Arial"/>
      <w:b/>
      <w:color w:val="365F91"/>
      <w:sz w:val="20"/>
      <w:lang w:val="en-GB" w:eastAsia="en-GB"/>
    </w:rPr>
  </w:style>
  <w:style w:type="character" w:customStyle="1" w:styleId="Heading2Char">
    <w:name w:val="Heading 2 Char"/>
    <w:basedOn w:val="DefaultParagraphFont"/>
    <w:link w:val="Heading2"/>
    <w:uiPriority w:val="9"/>
    <w:rsid w:val="00081E86"/>
    <w:rPr>
      <w:rFonts w:ascii="Arial" w:eastAsia="Arial" w:hAnsi="Arial" w:cs="Arial"/>
      <w:b/>
      <w:color w:val="365F91"/>
      <w:sz w:val="20"/>
      <w:lang w:val="en-GB" w:eastAsia="en-GB"/>
    </w:rPr>
  </w:style>
  <w:style w:type="paragraph" w:styleId="TOC1">
    <w:name w:val="toc 1"/>
    <w:hidden/>
    <w:rsid w:val="00081E86"/>
    <w:pPr>
      <w:spacing w:after="5" w:line="248" w:lineRule="auto"/>
      <w:ind w:left="133" w:right="131" w:hanging="10"/>
      <w:jc w:val="both"/>
    </w:pPr>
    <w:rPr>
      <w:rFonts w:ascii="Arial" w:eastAsia="Arial" w:hAnsi="Arial" w:cs="Arial"/>
      <w:color w:val="000000"/>
      <w:sz w:val="20"/>
      <w:lang w:val="en-GB" w:eastAsia="en-GB"/>
    </w:rPr>
  </w:style>
  <w:style w:type="paragraph" w:styleId="TOC2">
    <w:name w:val="toc 2"/>
    <w:hidden/>
    <w:rsid w:val="00081E86"/>
    <w:pPr>
      <w:spacing w:after="30" w:line="248" w:lineRule="auto"/>
      <w:ind w:left="133" w:right="131" w:hanging="10"/>
      <w:jc w:val="both"/>
    </w:pPr>
    <w:rPr>
      <w:rFonts w:ascii="Arial" w:eastAsia="Arial" w:hAnsi="Arial" w:cs="Arial"/>
      <w:color w:val="000000"/>
      <w:sz w:val="20"/>
      <w:lang w:val="en-GB" w:eastAsia="en-GB"/>
    </w:rPr>
  </w:style>
  <w:style w:type="table" w:customStyle="1" w:styleId="TableGrid">
    <w:name w:val="TableGrid"/>
    <w:rsid w:val="00081E86"/>
    <w:pPr>
      <w:spacing w:after="0" w:line="240" w:lineRule="auto"/>
    </w:pPr>
    <w:rPr>
      <w:rFonts w:eastAsiaTheme="minorEastAsia"/>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D2442"/>
    <w:rPr>
      <w:color w:val="800080" w:themeColor="followedHyperlink"/>
      <w:u w:val="single"/>
    </w:rPr>
  </w:style>
  <w:style w:type="paragraph" w:styleId="FootnoteText">
    <w:name w:val="footnote text"/>
    <w:basedOn w:val="Normal"/>
    <w:link w:val="FootnoteTextChar"/>
    <w:uiPriority w:val="99"/>
    <w:unhideWhenUsed/>
    <w:rsid w:val="003C35C6"/>
    <w:pPr>
      <w:spacing w:after="0" w:line="240" w:lineRule="auto"/>
    </w:pPr>
    <w:rPr>
      <w:sz w:val="20"/>
      <w:szCs w:val="20"/>
    </w:rPr>
  </w:style>
  <w:style w:type="character" w:customStyle="1" w:styleId="FootnoteTextChar">
    <w:name w:val="Footnote Text Char"/>
    <w:basedOn w:val="DefaultParagraphFont"/>
    <w:link w:val="FootnoteText"/>
    <w:uiPriority w:val="99"/>
    <w:rsid w:val="003C35C6"/>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3C35C6"/>
    <w:rPr>
      <w:vertAlign w:val="superscript"/>
    </w:rPr>
  </w:style>
  <w:style w:type="paragraph" w:styleId="BalloonText">
    <w:name w:val="Balloon Text"/>
    <w:basedOn w:val="Normal"/>
    <w:link w:val="BalloonTextChar"/>
    <w:uiPriority w:val="99"/>
    <w:semiHidden/>
    <w:unhideWhenUsed/>
    <w:rsid w:val="002C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8A"/>
    <w:rPr>
      <w:rFonts w:ascii="Segoe UI" w:eastAsia="Calibri" w:hAnsi="Segoe UI" w:cs="Segoe UI"/>
      <w:sz w:val="18"/>
      <w:szCs w:val="18"/>
      <w:lang w:val="en-GB"/>
    </w:rPr>
  </w:style>
  <w:style w:type="paragraph" w:customStyle="1" w:styleId="Default">
    <w:name w:val="Default"/>
    <w:rsid w:val="007300B2"/>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99283">
      <w:bodyDiv w:val="1"/>
      <w:marLeft w:val="0"/>
      <w:marRight w:val="0"/>
      <w:marTop w:val="0"/>
      <w:marBottom w:val="0"/>
      <w:divBdr>
        <w:top w:val="none" w:sz="0" w:space="0" w:color="auto"/>
        <w:left w:val="none" w:sz="0" w:space="0" w:color="auto"/>
        <w:bottom w:val="none" w:sz="0" w:space="0" w:color="auto"/>
        <w:right w:val="none" w:sz="0" w:space="0" w:color="auto"/>
      </w:divBdr>
    </w:div>
    <w:div w:id="1785150461">
      <w:bodyDiv w:val="1"/>
      <w:marLeft w:val="0"/>
      <w:marRight w:val="0"/>
      <w:marTop w:val="0"/>
      <w:marBottom w:val="0"/>
      <w:divBdr>
        <w:top w:val="none" w:sz="0" w:space="0" w:color="auto"/>
        <w:left w:val="none" w:sz="0" w:space="0" w:color="auto"/>
        <w:bottom w:val="none" w:sz="0" w:space="0" w:color="auto"/>
        <w:right w:val="none" w:sz="0" w:space="0" w:color="auto"/>
      </w:divBdr>
      <w:divsChild>
        <w:div w:id="1607233569">
          <w:marLeft w:val="547"/>
          <w:marRight w:val="0"/>
          <w:marTop w:val="20"/>
          <w:marBottom w:val="0"/>
          <w:divBdr>
            <w:top w:val="none" w:sz="0" w:space="0" w:color="auto"/>
            <w:left w:val="none" w:sz="0" w:space="0" w:color="auto"/>
            <w:bottom w:val="none" w:sz="0" w:space="0" w:color="auto"/>
            <w:right w:val="none" w:sz="0" w:space="0" w:color="auto"/>
          </w:divBdr>
        </w:div>
        <w:div w:id="32661954">
          <w:marLeft w:val="547"/>
          <w:marRight w:val="0"/>
          <w:marTop w:val="120"/>
          <w:marBottom w:val="0"/>
          <w:divBdr>
            <w:top w:val="none" w:sz="0" w:space="0" w:color="auto"/>
            <w:left w:val="none" w:sz="0" w:space="0" w:color="auto"/>
            <w:bottom w:val="none" w:sz="0" w:space="0" w:color="auto"/>
            <w:right w:val="none" w:sz="0" w:space="0" w:color="auto"/>
          </w:divBdr>
        </w:div>
      </w:divsChild>
    </w:div>
    <w:div w:id="184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maps.cdrc.ac.uk/" TargetMode="External"/><Relationship Id="rId26" Type="http://schemas.openxmlformats.org/officeDocument/2006/relationships/hyperlink" Target="https://www.ons.gov.uk/census/censustransformationprogramme/administrativedatacensusproject" TargetMode="External"/><Relationship Id="rId39"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share.sp.ons.statistics.gov.uk/sites/MTH/Cen/2021/Sample_Design_and_Estimation/Hard_to_Count/Census_2021_HtC_index_report_v5_for_EAP.docx"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government/publications/digital-landscape-research/digital-landscape-research" TargetMode="External"/><Relationship Id="rId25" Type="http://schemas.openxmlformats.org/officeDocument/2006/relationships/hyperlink" Target="https://www.ons.gov.uk/peoplepopulationandcommunity/householdcharacteristics/homeinternetandsocialmediausage/bulletins/internetaccesshouseholdsandindividuals/2018" TargetMode="External"/><Relationship Id="rId33" Type="http://schemas.openxmlformats.org/officeDocument/2006/relationships/image" Target="media/image1.emf"/><Relationship Id="rId38"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abs.gov.au/websitedbs/D3310114.nsf/Home/2016%20Census%20online%20responses%20infographic" TargetMode="External"/><Relationship Id="rId20" Type="http://schemas.openxmlformats.org/officeDocument/2006/relationships/hyperlink" Target="https://www.gov.uk/government/collections/digital-economy-bill-2016" TargetMode="External"/><Relationship Id="rId29" Type="http://schemas.openxmlformats.org/officeDocument/2006/relationships/hyperlink" Target="http://oxis.oii.ox.ac.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ons.gov.uk/peoplepopulationandcommunity/householdcharacteristics/homeinternetandsocialmediausage/bulletins/internetaccessquarterlyupdate/2014-08-20" TargetMode="External"/><Relationship Id="rId32" Type="http://schemas.openxmlformats.org/officeDocument/2006/relationships/hyperlink" Target="https://datadrivendetroit.org/blog/2018/02/13/measuring-hard-to-count-populations/" TargetMode="Externa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bs.gov.au/websitedbs/d3310114.nsf/home/Independent+Assurance+Panel/$File/CIAP+Report+on+the+quality+of+2016+Census+data.pdf" TargetMode="External"/><Relationship Id="rId23" Type="http://schemas.openxmlformats.org/officeDocument/2006/relationships/hyperlink" Target="https://www.ofcom.org.uk/research-and-data/media-literacy-research/adults/adults-media-use-and-attitudes" TargetMode="External"/><Relationship Id="rId28" Type="http://schemas.openxmlformats.org/officeDocument/2006/relationships/hyperlink" Target="https://blog.ons.gov.uk/2019/01/10/designing-future-surveys/" TargetMode="External"/><Relationship Id="rId36" Type="http://schemas.openxmlformats.org/officeDocument/2006/relationships/image" Target="media/image4.emf"/><Relationship Id="rId10" Type="http://schemas.openxmlformats.org/officeDocument/2006/relationships/styles" Target="styles.xml"/><Relationship Id="rId19" Type="http://schemas.openxmlformats.org/officeDocument/2006/relationships/hyperlink" Target="https://share.sp.ons.statistics.gov.uk/sites/cen/csod/CSOD_Stats_Design/Statistical_Design/2017%20Test/Reports/CRAG_paper_Nov17.docx" TargetMode="External"/><Relationship Id="rId31" Type="http://schemas.openxmlformats.org/officeDocument/2006/relationships/hyperlink" Target="https://www.censushardtocountmaps2020.u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share.sp.ons.statistics.gov.uk/sites/MTH/Cen/2021/Sample_Design_and_Estimation/Hard_to_Count/Update_on_methodology_for_the_Digital_domain_of_the_Hard_to_Count_index_for_the_2021_Census_May_2019.pdf" TargetMode="External"/><Relationship Id="rId27" Type="http://schemas.openxmlformats.org/officeDocument/2006/relationships/hyperlink" Target="https://www.ons.gov.uk/methodology/methodologicalpublications/generalmethodology/surveymethodologybulletin" TargetMode="External"/><Relationship Id="rId30" Type="http://schemas.openxmlformats.org/officeDocument/2006/relationships/hyperlink" Target="https://www12.statcan.gc.ca/census-recensement/2016/ref/response-rates-eng.cfm" TargetMode="External"/><Relationship Id="rId35"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a7dd7a64-f5c5-4f30-b8c4-f5626f639d1b" ContentTypeId="0x01010035E33599CC8D1E47A037F474646B1D58" PreviousValue="false"/>
</file>

<file path=customXml/item4.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D5PZWENCX5VS-172818178-31270</_dlc_DocId>
    <_dlc_DocIdUrl xmlns="39b8a52d-d8b9-47ff-a8c3-c8931ddf8d60">
      <Url>https://share.sp.ons.statistics.gov.uk/sites/MTH/Cen/_layouts/15/DocIdRedir.aspx?ID=D5PZWENCX5VS-172818178-31270</Url>
      <Description>D5PZWENCX5VS-172818178-31270</Description>
    </_dlc_DocIdUrl>
  </documentManagement>
</p:properties>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3E99-61FB-435B-9407-19C4575FCD6B}">
  <ds:schemaRefs>
    <ds:schemaRef ds:uri="http://schemas.microsoft.com/sharepoint/events"/>
  </ds:schemaRefs>
</ds:datastoreItem>
</file>

<file path=customXml/itemProps2.xml><?xml version="1.0" encoding="utf-8"?>
<ds:datastoreItem xmlns:ds="http://schemas.openxmlformats.org/officeDocument/2006/customXml" ds:itemID="{D531B99F-529E-4DD8-93A9-663F908A351B}">
  <ds:schemaRefs>
    <ds:schemaRef ds:uri="http://schemas.microsoft.com/office/2006/metadata/customXsn"/>
  </ds:schemaRefs>
</ds:datastoreItem>
</file>

<file path=customXml/itemProps3.xml><?xml version="1.0" encoding="utf-8"?>
<ds:datastoreItem xmlns:ds="http://schemas.openxmlformats.org/officeDocument/2006/customXml" ds:itemID="{6866E6EA-D694-4A7D-A138-17BEA431E8F2}">
  <ds:schemaRefs>
    <ds:schemaRef ds:uri="Microsoft.SharePoint.Taxonomy.ContentTypeSync"/>
  </ds:schemaRefs>
</ds:datastoreItem>
</file>

<file path=customXml/itemProps4.xml><?xml version="1.0" encoding="utf-8"?>
<ds:datastoreItem xmlns:ds="http://schemas.openxmlformats.org/officeDocument/2006/customXml" ds:itemID="{AE21BF77-F3E6-4EEC-9AD8-5BB4CEAC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8E3BD-1084-42F7-8082-693007C1D637}">
  <ds:schemaRefs>
    <ds:schemaRef ds:uri="http://schemas.microsoft.com/sharepoint/v3/contenttype/forms"/>
  </ds:schemaRefs>
</ds:datastoreItem>
</file>

<file path=customXml/itemProps6.xml><?xml version="1.0" encoding="utf-8"?>
<ds:datastoreItem xmlns:ds="http://schemas.openxmlformats.org/officeDocument/2006/customXml" ds:itemID="{343CD8D0-E6EF-453B-9981-904E41811A78}">
  <ds:schemaRefs>
    <ds:schemaRef ds:uri="http://purl.org/dc/terms/"/>
    <ds:schemaRef ds:uri="http://schemas.microsoft.com/office/2006/documentManagement/types"/>
    <ds:schemaRef ds:uri="http://purl.org/dc/dcmitype/"/>
    <ds:schemaRef ds:uri="f8cc70c5-6df4-4163-8f93-1fe30c314df0"/>
    <ds:schemaRef ds:uri="http://purl.org/dc/elements/1.1/"/>
    <ds:schemaRef ds:uri="http://schemas.microsoft.com/office/2006/metadata/properties"/>
    <ds:schemaRef ds:uri="http://schemas.microsoft.com/office/infopath/2007/PartnerControls"/>
    <ds:schemaRef ds:uri="39b8a52d-d8b9-47ff-a8c3-c8931ddf8d60"/>
    <ds:schemaRef ds:uri="http://schemas.microsoft.com/sharepoint/v3"/>
    <ds:schemaRef ds:uri="http://schemas.openxmlformats.org/package/2006/metadata/core-properties"/>
    <ds:schemaRef ds:uri="e14115de-03ae-49b5-af01-31035404c456"/>
    <ds:schemaRef ds:uri="http://www.w3.org/XML/1998/namespace"/>
  </ds:schemaRefs>
</ds:datastoreItem>
</file>

<file path=customXml/itemProps7.xml><?xml version="1.0" encoding="utf-8"?>
<ds:datastoreItem xmlns:ds="http://schemas.openxmlformats.org/officeDocument/2006/customXml" ds:itemID="{215C6B06-557B-4684-A723-10BB7523476A}">
  <ds:schemaRefs>
    <ds:schemaRef ds:uri="office.server.policy"/>
  </ds:schemaRefs>
</ds:datastoreItem>
</file>

<file path=customXml/itemProps8.xml><?xml version="1.0" encoding="utf-8"?>
<ds:datastoreItem xmlns:ds="http://schemas.openxmlformats.org/officeDocument/2006/customXml" ds:itemID="{E0162874-FAE7-4279-84CF-34C95E55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 Ercilia</dc:creator>
  <cp:keywords/>
  <dc:description/>
  <cp:lastModifiedBy>Lydiat, Christopher</cp:lastModifiedBy>
  <cp:revision>5</cp:revision>
  <dcterms:created xsi:type="dcterms:W3CDTF">2019-11-06T14:26:00Z</dcterms:created>
  <dcterms:modified xsi:type="dcterms:W3CDTF">2020-06-15T09:33:00Z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219be214-be23-4a8a-96d6-b1dbbfe37cba</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